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9EFF">
      <w:pPr>
        <w:ind w:right="-168" w:rightChars="-80"/>
        <w:jc w:val="left"/>
        <w:rPr>
          <w:rFonts w:ascii="Times New Roman" w:hAnsi="Times New Roman" w:eastAsia="SimHei" w:cs="Times New Roman"/>
          <w:kern w:val="2"/>
          <w:sz w:val="28"/>
          <w:szCs w:val="28"/>
          <w:lang w:val="en-US" w:eastAsia="zh-CN" w:bidi="ar-SA"/>
        </w:rPr>
      </w:pPr>
      <w:bookmarkStart w:id="0" w:name="_Toc18050"/>
    </w:p>
    <w:p w14:paraId="5420C50E">
      <w:pPr>
        <w:ind w:right="-168" w:rightChars="-80"/>
        <w:jc w:val="left"/>
        <w:rPr>
          <w:rFonts w:ascii="Times New Roman" w:hAnsi="Times New Roman" w:eastAsia="SimHei" w:cs="Times New Roman"/>
          <w:kern w:val="2"/>
          <w:sz w:val="28"/>
          <w:szCs w:val="28"/>
          <w:lang w:val="en-US" w:eastAsia="zh-CN" w:bidi="ar-SA"/>
        </w:rPr>
      </w:pPr>
    </w:p>
    <w:p w14:paraId="5176B8D1">
      <w:pPr>
        <w:ind w:right="-168" w:rightChars="-80"/>
        <w:jc w:val="left"/>
        <w:rPr>
          <w:rFonts w:ascii="Times New Roman" w:hAnsi="Times New Roman" w:eastAsia="SimHei" w:cs="Times New Roman"/>
          <w:kern w:val="2"/>
          <w:sz w:val="28"/>
          <w:szCs w:val="28"/>
          <w:lang w:val="en-US" w:eastAsia="zh-CN" w:bidi="ar-SA"/>
        </w:rPr>
      </w:pPr>
    </w:p>
    <w:p w14:paraId="0FF5EA20">
      <w:pPr>
        <w:ind w:right="-168" w:rightChars="-80"/>
        <w:jc w:val="left"/>
        <w:rPr>
          <w:rFonts w:ascii="Times New Roman" w:hAnsi="Times New Roman" w:eastAsia="SimHei" w:cs="Times New Roman"/>
          <w:i w:val="0"/>
          <w:iCs w:val="0"/>
          <w:kern w:val="2"/>
          <w:sz w:val="28"/>
          <w:szCs w:val="28"/>
          <w:lang w:val="en-US" w:eastAsia="zh-CN" w:bidi="ar-SA"/>
        </w:rPr>
      </w:pPr>
    </w:p>
    <w:p w14:paraId="7A422C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SimHei" w:cs="Times New Roman"/>
          <w:i w:val="0"/>
          <w:iCs w:val="0"/>
          <w:kern w:val="2"/>
          <w:sz w:val="56"/>
          <w:lang w:val="en-US" w:eastAsia="zh-CN" w:bidi="ar-SA"/>
        </w:rPr>
      </w:pPr>
      <w:r>
        <w:rPr>
          <w:rFonts w:ascii="Times New Roman" w:hAnsi="Times New Roman" w:eastAsia="SimHei" w:cs="Times New Roman"/>
          <w:i w:val="0"/>
          <w:iCs w:val="0"/>
          <w:kern w:val="2"/>
          <w:sz w:val="56"/>
          <w:lang w:val="en-US" w:eastAsia="zh-CN" w:bidi="ar-SA"/>
        </w:rPr>
        <w:t>学位授权点质量</w:t>
      </w:r>
      <w:r>
        <w:rPr>
          <w:rFonts w:hint="eastAsia" w:ascii="Times New Roman" w:hAnsi="Times New Roman" w:eastAsia="SimHei" w:cs="Times New Roman"/>
          <w:i w:val="0"/>
          <w:iCs w:val="0"/>
          <w:kern w:val="2"/>
          <w:sz w:val="56"/>
          <w:lang w:val="en-US" w:eastAsia="zh-CN" w:bidi="ar-SA"/>
        </w:rPr>
        <w:t>建设</w:t>
      </w:r>
      <w:r>
        <w:rPr>
          <w:rFonts w:ascii="Times New Roman" w:hAnsi="Times New Roman" w:eastAsia="SimHei" w:cs="Times New Roman"/>
          <w:i w:val="0"/>
          <w:iCs w:val="0"/>
          <w:kern w:val="2"/>
          <w:sz w:val="56"/>
          <w:lang w:val="en-US" w:eastAsia="zh-CN" w:bidi="ar-SA"/>
        </w:rPr>
        <w:t>年度报告</w:t>
      </w:r>
    </w:p>
    <w:p w14:paraId="5E02E9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eastAsiaTheme="minorEastAsia"/>
          <w:i w:val="0"/>
          <w:iCs w:val="0"/>
          <w:kern w:val="2"/>
          <w:sz w:val="32"/>
          <w:szCs w:val="32"/>
          <w:lang w:val="en-US" w:eastAsia="zh-CN" w:bidi="ar-SA"/>
        </w:rPr>
      </w:pPr>
      <w:r>
        <w:rPr>
          <w:rFonts w:hint="eastAsia" w:ascii="Times New Roman" w:hAnsi="Times New Roman" w:cs="Times New Roman" w:eastAsiaTheme="minorEastAsia"/>
          <w:i w:val="0"/>
          <w:iCs w:val="0"/>
          <w:kern w:val="2"/>
          <w:sz w:val="32"/>
          <w:szCs w:val="32"/>
          <w:lang w:val="en-US" w:eastAsia="zh-CN" w:bidi="ar-SA"/>
        </w:rPr>
        <w:t>（202</w:t>
      </w:r>
      <w:r>
        <w:rPr>
          <w:rFonts w:hint="eastAsia" w:cs="Times New Roman" w:eastAsiaTheme="minorEastAsia"/>
          <w:i w:val="0"/>
          <w:iCs w:val="0"/>
          <w:kern w:val="2"/>
          <w:sz w:val="32"/>
          <w:szCs w:val="32"/>
          <w:lang w:val="en-US" w:eastAsia="zh-CN" w:bidi="ar-SA"/>
        </w:rPr>
        <w:t>1</w:t>
      </w:r>
      <w:r>
        <w:rPr>
          <w:rFonts w:hint="eastAsia" w:ascii="Times New Roman" w:hAnsi="Times New Roman" w:cs="Times New Roman" w:eastAsiaTheme="minorEastAsia"/>
          <w:i w:val="0"/>
          <w:iCs w:val="0"/>
          <w:kern w:val="2"/>
          <w:sz w:val="32"/>
          <w:szCs w:val="32"/>
          <w:lang w:val="en-US" w:eastAsia="zh-CN" w:bidi="ar-SA"/>
        </w:rPr>
        <w:t>年度）</w:t>
      </w:r>
    </w:p>
    <w:p w14:paraId="35000EE0">
      <w:pPr>
        <w:rPr>
          <w:rFonts w:ascii="Times New Roman" w:hAnsi="Times New Roman" w:cs="Times New Roman" w:eastAsiaTheme="minorEastAsia"/>
          <w:i w:val="0"/>
          <w:iCs w:val="0"/>
          <w:kern w:val="2"/>
          <w:sz w:val="24"/>
          <w:lang w:val="en-US" w:eastAsia="zh-CN" w:bidi="ar-SA"/>
        </w:rPr>
      </w:pPr>
    </w:p>
    <w:p w14:paraId="193E4F69">
      <w:pPr>
        <w:rPr>
          <w:rFonts w:ascii="Times New Roman" w:hAnsi="Times New Roman" w:cs="Times New Roman" w:eastAsiaTheme="minorEastAsia"/>
          <w:i w:val="0"/>
          <w:iCs w:val="0"/>
          <w:kern w:val="2"/>
          <w:sz w:val="24"/>
          <w:lang w:val="en-US" w:eastAsia="zh-CN" w:bidi="ar-SA"/>
        </w:rPr>
      </w:pPr>
    </w:p>
    <w:p w14:paraId="780418C3">
      <w:pPr>
        <w:rPr>
          <w:rFonts w:ascii="Times New Roman" w:hAnsi="Times New Roman" w:cs="Times New Roman" w:eastAsiaTheme="minorEastAsia"/>
          <w:i w:val="0"/>
          <w:iCs w:val="0"/>
          <w:kern w:val="2"/>
          <w:sz w:val="24"/>
          <w:lang w:val="en-US" w:eastAsia="zh-CN" w:bidi="ar-SA"/>
        </w:rPr>
      </w:pPr>
    </w:p>
    <w:p w14:paraId="0014C556">
      <w:pPr>
        <w:rPr>
          <w:rFonts w:ascii="Times New Roman" w:hAnsi="Times New Roman" w:cs="Times New Roman" w:eastAsiaTheme="minorEastAsia"/>
          <w:i w:val="0"/>
          <w:iCs w:val="0"/>
          <w:kern w:val="2"/>
          <w:sz w:val="24"/>
          <w:lang w:val="en-US" w:eastAsia="zh-CN" w:bidi="ar-SA"/>
        </w:rPr>
      </w:pPr>
    </w:p>
    <w:p w14:paraId="0ED537F7">
      <w:pPr>
        <w:rPr>
          <w:rFonts w:ascii="Times New Roman" w:hAnsi="Times New Roman" w:cs="Times New Roman" w:eastAsiaTheme="minorEastAsia"/>
          <w:i w:val="0"/>
          <w:iCs w:val="0"/>
          <w:kern w:val="2"/>
          <w:sz w:val="24"/>
          <w:lang w:val="en-US" w:eastAsia="zh-CN" w:bidi="ar-SA"/>
        </w:rPr>
      </w:pPr>
    </w:p>
    <w:tbl>
      <w:tblPr>
        <w:tblStyle w:val="5"/>
        <w:tblW w:w="6516" w:type="dxa"/>
        <w:jc w:val="center"/>
        <w:tblLayout w:type="fixed"/>
        <w:tblCellMar>
          <w:top w:w="0" w:type="dxa"/>
          <w:left w:w="28" w:type="dxa"/>
          <w:bottom w:w="0" w:type="dxa"/>
          <w:right w:w="28" w:type="dxa"/>
        </w:tblCellMar>
      </w:tblPr>
      <w:tblGrid>
        <w:gridCol w:w="2115"/>
        <w:gridCol w:w="4401"/>
      </w:tblGrid>
      <w:tr w14:paraId="22F60966">
        <w:tblPrEx>
          <w:tblCellMar>
            <w:top w:w="0" w:type="dxa"/>
            <w:left w:w="28" w:type="dxa"/>
            <w:bottom w:w="0" w:type="dxa"/>
            <w:right w:w="28" w:type="dxa"/>
          </w:tblCellMar>
        </w:tblPrEx>
        <w:trPr>
          <w:jc w:val="center"/>
        </w:trPr>
        <w:tc>
          <w:tcPr>
            <w:tcW w:w="2115" w:type="dxa"/>
            <w:vMerge w:val="restart"/>
            <w:tcBorders>
              <w:right w:val="single" w:color="auto" w:sz="4" w:space="0"/>
            </w:tcBorders>
            <w:vAlign w:val="center"/>
          </w:tcPr>
          <w:p w14:paraId="241D24FD">
            <w:pPr>
              <w:spacing w:line="400" w:lineRule="exact"/>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学位授予单位</w:t>
            </w:r>
          </w:p>
        </w:tc>
        <w:tc>
          <w:tcPr>
            <w:tcW w:w="4401" w:type="dxa"/>
            <w:tcBorders>
              <w:left w:val="single" w:color="auto" w:sz="4" w:space="0"/>
            </w:tcBorders>
          </w:tcPr>
          <w:p w14:paraId="38F38CAE">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名称:中南林业科技大学</w:t>
            </w:r>
          </w:p>
        </w:tc>
      </w:tr>
      <w:tr w14:paraId="6BC36F2A">
        <w:tblPrEx>
          <w:tblCellMar>
            <w:top w:w="0" w:type="dxa"/>
            <w:left w:w="28" w:type="dxa"/>
            <w:bottom w:w="0" w:type="dxa"/>
            <w:right w:w="28" w:type="dxa"/>
          </w:tblCellMar>
        </w:tblPrEx>
        <w:trPr>
          <w:jc w:val="center"/>
        </w:trPr>
        <w:tc>
          <w:tcPr>
            <w:tcW w:w="2115" w:type="dxa"/>
            <w:vMerge w:val="continue"/>
            <w:tcBorders>
              <w:right w:val="single" w:color="auto" w:sz="4" w:space="0"/>
            </w:tcBorders>
          </w:tcPr>
          <w:p w14:paraId="029C6BA3">
            <w:pPr>
              <w:ind w:right="419"/>
              <w:rPr>
                <w:rFonts w:ascii="Times New Roman" w:hAnsi="Times New Roman" w:eastAsia="仿宋_GB2312" w:cs="Times New Roman"/>
                <w:b/>
                <w:i w:val="0"/>
                <w:iCs w:val="0"/>
                <w:kern w:val="2"/>
                <w:sz w:val="28"/>
                <w:lang w:val="en-US" w:eastAsia="zh-CN" w:bidi="ar-SA"/>
              </w:rPr>
            </w:pPr>
          </w:p>
        </w:tc>
        <w:tc>
          <w:tcPr>
            <w:tcW w:w="4401" w:type="dxa"/>
            <w:tcBorders>
              <w:left w:val="single" w:color="auto" w:sz="4" w:space="0"/>
            </w:tcBorders>
          </w:tcPr>
          <w:p w14:paraId="4E137085">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p>
        </w:tc>
      </w:tr>
      <w:tr w14:paraId="14ABA940">
        <w:tblPrEx>
          <w:tblCellMar>
            <w:top w:w="0" w:type="dxa"/>
            <w:left w:w="28" w:type="dxa"/>
            <w:bottom w:w="0" w:type="dxa"/>
            <w:right w:w="28" w:type="dxa"/>
          </w:tblCellMar>
        </w:tblPrEx>
        <w:trPr>
          <w:jc w:val="center"/>
        </w:trPr>
        <w:tc>
          <w:tcPr>
            <w:tcW w:w="2115" w:type="dxa"/>
            <w:vMerge w:val="continue"/>
            <w:tcBorders>
              <w:right w:val="single" w:color="auto" w:sz="4" w:space="0"/>
            </w:tcBorders>
          </w:tcPr>
          <w:p w14:paraId="6CE06BE4">
            <w:pPr>
              <w:ind w:right="419"/>
              <w:rPr>
                <w:rFonts w:ascii="Times New Roman" w:hAnsi="Times New Roman" w:eastAsia="仿宋_GB2312" w:cs="Times New Roman"/>
                <w:b/>
                <w:i w:val="0"/>
                <w:iCs w:val="0"/>
                <w:kern w:val="2"/>
                <w:sz w:val="28"/>
                <w:lang w:val="en-US" w:eastAsia="zh-CN" w:bidi="ar-SA"/>
              </w:rPr>
            </w:pPr>
          </w:p>
        </w:tc>
        <w:tc>
          <w:tcPr>
            <w:tcW w:w="4401" w:type="dxa"/>
            <w:tcBorders>
              <w:left w:val="single" w:color="auto" w:sz="4" w:space="0"/>
            </w:tcBorders>
          </w:tcPr>
          <w:p w14:paraId="58FF5334">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代码:10538</w:t>
            </w:r>
          </w:p>
        </w:tc>
      </w:tr>
    </w:tbl>
    <w:p w14:paraId="008366C9">
      <w:pPr>
        <w:rPr>
          <w:rFonts w:ascii="Times New Roman" w:hAnsi="Times New Roman" w:eastAsia="仿宋_GB2312" w:cs="Times New Roman"/>
          <w:b/>
          <w:i w:val="0"/>
          <w:iCs w:val="0"/>
          <w:kern w:val="2"/>
          <w:sz w:val="28"/>
          <w:lang w:val="en-US" w:eastAsia="zh-CN" w:bidi="ar-SA"/>
        </w:rPr>
      </w:pPr>
    </w:p>
    <w:p w14:paraId="1F3F3AC2">
      <w:pPr>
        <w:rPr>
          <w:rFonts w:ascii="Times New Roman" w:hAnsi="Times New Roman" w:eastAsia="仿宋_GB2312" w:cs="Times New Roman"/>
          <w:b/>
          <w:i w:val="0"/>
          <w:iCs w:val="0"/>
          <w:kern w:val="2"/>
          <w:sz w:val="28"/>
          <w:lang w:val="en-US" w:eastAsia="zh-CN" w:bidi="ar-SA"/>
        </w:rPr>
      </w:pPr>
    </w:p>
    <w:p w14:paraId="4F3B26FD">
      <w:pPr>
        <w:rPr>
          <w:rFonts w:ascii="Times New Roman" w:hAnsi="Times New Roman" w:eastAsia="仿宋_GB2312" w:cs="Times New Roman"/>
          <w:b/>
          <w:i w:val="0"/>
          <w:iCs w:val="0"/>
          <w:kern w:val="2"/>
          <w:sz w:val="28"/>
          <w:lang w:val="en-US" w:eastAsia="zh-CN" w:bidi="ar-SA"/>
        </w:rPr>
      </w:pPr>
    </w:p>
    <w:p w14:paraId="34252028">
      <w:pPr>
        <w:rPr>
          <w:rFonts w:ascii="Times New Roman" w:hAnsi="Times New Roman" w:eastAsia="仿宋_GB2312" w:cs="Times New Roman"/>
          <w:i w:val="0"/>
          <w:iCs w:val="0"/>
          <w:kern w:val="2"/>
          <w:sz w:val="24"/>
          <w:u w:val="thick"/>
          <w:lang w:val="en-US" w:eastAsia="zh-CN" w:bidi="ar-SA"/>
        </w:rPr>
      </w:pPr>
    </w:p>
    <w:tbl>
      <w:tblPr>
        <w:tblStyle w:val="5"/>
        <w:tblW w:w="6516" w:type="dxa"/>
        <w:jc w:val="center"/>
        <w:tblLayout w:type="fixed"/>
        <w:tblCellMar>
          <w:top w:w="0" w:type="dxa"/>
          <w:left w:w="28" w:type="dxa"/>
          <w:bottom w:w="0" w:type="dxa"/>
          <w:right w:w="28" w:type="dxa"/>
        </w:tblCellMar>
      </w:tblPr>
      <w:tblGrid>
        <w:gridCol w:w="2122"/>
        <w:gridCol w:w="4394"/>
      </w:tblGrid>
      <w:tr w14:paraId="01EF6902">
        <w:tblPrEx>
          <w:tblCellMar>
            <w:top w:w="0" w:type="dxa"/>
            <w:left w:w="28" w:type="dxa"/>
            <w:bottom w:w="0" w:type="dxa"/>
            <w:right w:w="28" w:type="dxa"/>
          </w:tblCellMar>
        </w:tblPrEx>
        <w:trPr>
          <w:jc w:val="center"/>
        </w:trPr>
        <w:tc>
          <w:tcPr>
            <w:tcW w:w="2122" w:type="dxa"/>
            <w:vMerge w:val="restart"/>
            <w:tcBorders>
              <w:right w:val="single" w:color="auto" w:sz="4" w:space="0"/>
            </w:tcBorders>
            <w:vAlign w:val="center"/>
          </w:tcPr>
          <w:p w14:paraId="7C5B6264">
            <w:pPr>
              <w:spacing w:line="400" w:lineRule="exact"/>
              <w:ind w:right="252" w:rightChars="120" w:firstLine="138" w:firstLineChars="49"/>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学位授权点</w:t>
            </w:r>
          </w:p>
        </w:tc>
        <w:tc>
          <w:tcPr>
            <w:tcW w:w="4394" w:type="dxa"/>
            <w:tcBorders>
              <w:left w:val="single" w:color="auto" w:sz="4" w:space="0"/>
            </w:tcBorders>
          </w:tcPr>
          <w:p w14:paraId="0B7CD5CF">
            <w:pPr>
              <w:rPr>
                <w:rFonts w:hint="default"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名称:</w:t>
            </w:r>
            <w:r>
              <w:rPr>
                <w:rFonts w:hint="eastAsia" w:ascii="Times New Roman" w:hAnsi="Times New Roman" w:eastAsia="仿宋_GB2312" w:cs="Times New Roman"/>
                <w:b/>
                <w:i w:val="0"/>
                <w:iCs w:val="0"/>
                <w:kern w:val="2"/>
                <w:sz w:val="28"/>
                <w:lang w:val="en-US" w:eastAsia="zh-CN" w:bidi="ar-SA"/>
              </w:rPr>
              <w:t xml:space="preserve"> 法学</w:t>
            </w:r>
          </w:p>
        </w:tc>
      </w:tr>
      <w:tr w14:paraId="23F885A8">
        <w:tblPrEx>
          <w:tblCellMar>
            <w:top w:w="0" w:type="dxa"/>
            <w:left w:w="28" w:type="dxa"/>
            <w:bottom w:w="0" w:type="dxa"/>
            <w:right w:w="28" w:type="dxa"/>
          </w:tblCellMar>
        </w:tblPrEx>
        <w:trPr>
          <w:jc w:val="center"/>
        </w:trPr>
        <w:tc>
          <w:tcPr>
            <w:tcW w:w="2122" w:type="dxa"/>
            <w:vMerge w:val="continue"/>
            <w:tcBorders>
              <w:right w:val="single" w:color="auto" w:sz="4" w:space="0"/>
            </w:tcBorders>
          </w:tcPr>
          <w:p w14:paraId="4DDECD72">
            <w:pPr>
              <w:ind w:right="419"/>
              <w:rPr>
                <w:rFonts w:ascii="Times New Roman" w:hAnsi="Times New Roman" w:eastAsia="仿宋_GB2312" w:cs="Times New Roman"/>
                <w:b/>
                <w:i w:val="0"/>
                <w:iCs w:val="0"/>
                <w:kern w:val="2"/>
                <w:sz w:val="28"/>
                <w:lang w:val="en-US" w:eastAsia="zh-CN" w:bidi="ar-SA"/>
              </w:rPr>
            </w:pPr>
          </w:p>
        </w:tc>
        <w:tc>
          <w:tcPr>
            <w:tcW w:w="4394" w:type="dxa"/>
            <w:tcBorders>
              <w:left w:val="single" w:color="auto" w:sz="4" w:space="0"/>
            </w:tcBorders>
          </w:tcPr>
          <w:p w14:paraId="430B57FF">
            <w:pPr>
              <w:rPr>
                <w:rFonts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r>
              <w:rPr>
                <w:rFonts w:ascii="Times New Roman" w:hAnsi="Times New Roman" w:eastAsia="仿宋_GB2312" w:cs="Times New Roman"/>
                <w:b/>
                <w:i w:val="0"/>
                <w:iCs w:val="0"/>
                <w:kern w:val="2"/>
                <w:sz w:val="28"/>
                <w:lang w:val="en-US" w:eastAsia="zh-CN" w:bidi="ar-SA"/>
              </w:rPr>
              <w:sym w:font="Symbol" w:char="F0BE"/>
            </w:r>
          </w:p>
        </w:tc>
      </w:tr>
      <w:tr w14:paraId="7884C7A4">
        <w:tblPrEx>
          <w:tblCellMar>
            <w:top w:w="0" w:type="dxa"/>
            <w:left w:w="28" w:type="dxa"/>
            <w:bottom w:w="0" w:type="dxa"/>
            <w:right w:w="28" w:type="dxa"/>
          </w:tblCellMar>
        </w:tblPrEx>
        <w:trPr>
          <w:jc w:val="center"/>
        </w:trPr>
        <w:tc>
          <w:tcPr>
            <w:tcW w:w="2122" w:type="dxa"/>
            <w:vMerge w:val="continue"/>
            <w:tcBorders>
              <w:right w:val="single" w:color="auto" w:sz="4" w:space="0"/>
            </w:tcBorders>
          </w:tcPr>
          <w:p w14:paraId="702D0915">
            <w:pPr>
              <w:ind w:right="419"/>
              <w:rPr>
                <w:rFonts w:ascii="Times New Roman" w:hAnsi="Times New Roman" w:eastAsia="仿宋_GB2312" w:cs="Times New Roman"/>
                <w:b/>
                <w:i w:val="0"/>
                <w:iCs w:val="0"/>
                <w:kern w:val="2"/>
                <w:sz w:val="28"/>
                <w:lang w:val="en-US" w:eastAsia="zh-CN" w:bidi="ar-SA"/>
              </w:rPr>
            </w:pPr>
          </w:p>
        </w:tc>
        <w:tc>
          <w:tcPr>
            <w:tcW w:w="4394" w:type="dxa"/>
            <w:tcBorders>
              <w:left w:val="single" w:color="auto" w:sz="4" w:space="0"/>
            </w:tcBorders>
          </w:tcPr>
          <w:p w14:paraId="62478CDF">
            <w:pPr>
              <w:rPr>
                <w:rFonts w:hint="default" w:ascii="Times New Roman" w:hAnsi="Times New Roman" w:eastAsia="仿宋_GB2312" w:cs="Times New Roman"/>
                <w:b/>
                <w:i w:val="0"/>
                <w:iCs w:val="0"/>
                <w:kern w:val="2"/>
                <w:sz w:val="28"/>
                <w:lang w:val="en-US" w:eastAsia="zh-CN" w:bidi="ar-SA"/>
              </w:rPr>
            </w:pPr>
            <w:r>
              <w:rPr>
                <w:rFonts w:ascii="Times New Roman" w:hAnsi="Times New Roman" w:eastAsia="仿宋_GB2312" w:cs="Times New Roman"/>
                <w:b/>
                <w:i w:val="0"/>
                <w:iCs w:val="0"/>
                <w:kern w:val="2"/>
                <w:sz w:val="28"/>
                <w:lang w:val="en-US" w:eastAsia="zh-CN" w:bidi="ar-SA"/>
              </w:rPr>
              <w:t>代码:</w:t>
            </w:r>
            <w:r>
              <w:rPr>
                <w:rFonts w:hint="eastAsia" w:ascii="Times New Roman" w:hAnsi="Times New Roman" w:eastAsia="仿宋_GB2312" w:cs="Times New Roman"/>
                <w:b/>
                <w:i w:val="0"/>
                <w:iCs w:val="0"/>
                <w:kern w:val="2"/>
                <w:sz w:val="28"/>
                <w:lang w:val="en-US" w:eastAsia="zh-CN" w:bidi="ar-SA"/>
              </w:rPr>
              <w:t xml:space="preserve"> 0301</w:t>
            </w:r>
          </w:p>
        </w:tc>
      </w:tr>
    </w:tbl>
    <w:p w14:paraId="4596C2A6">
      <w:pPr>
        <w:widowControl/>
        <w:jc w:val="left"/>
        <w:rPr>
          <w:rFonts w:ascii="Times New Roman" w:hAnsi="Times New Roman" w:cs="Times New Roman" w:eastAsiaTheme="minorEastAsia"/>
          <w:i w:val="0"/>
          <w:iCs w:val="0"/>
          <w:kern w:val="2"/>
          <w:sz w:val="20"/>
          <w:lang w:val="en-US" w:eastAsia="zh-CN" w:bidi="ar-SA"/>
        </w:rPr>
      </w:pPr>
    </w:p>
    <w:p w14:paraId="026D161E">
      <w:pPr>
        <w:widowControl/>
        <w:jc w:val="left"/>
        <w:rPr>
          <w:rFonts w:ascii="Times New Roman" w:hAnsi="Times New Roman" w:eastAsia="楷体_GB2312" w:cs="Times New Roman"/>
          <w:i w:val="0"/>
          <w:iCs w:val="0"/>
          <w:kern w:val="2"/>
          <w:sz w:val="32"/>
          <w:lang w:val="en-US" w:eastAsia="zh-CN" w:bidi="ar-SA"/>
        </w:rPr>
      </w:pPr>
    </w:p>
    <w:p w14:paraId="55265CE4">
      <w:pPr>
        <w:widowControl/>
        <w:jc w:val="left"/>
        <w:rPr>
          <w:rFonts w:ascii="Times New Roman" w:hAnsi="Times New Roman" w:eastAsia="楷体_GB2312" w:cs="Times New Roman"/>
          <w:i w:val="0"/>
          <w:iCs w:val="0"/>
          <w:kern w:val="2"/>
          <w:sz w:val="32"/>
          <w:lang w:val="en-US" w:eastAsia="zh-CN" w:bidi="ar-SA"/>
        </w:rPr>
      </w:pPr>
    </w:p>
    <w:p w14:paraId="05CED9D5">
      <w:pPr>
        <w:widowControl/>
        <w:jc w:val="left"/>
        <w:rPr>
          <w:rFonts w:ascii="Times New Roman" w:hAnsi="Times New Roman" w:eastAsia="楷体_GB2312" w:cs="Times New Roman"/>
          <w:i w:val="0"/>
          <w:iCs w:val="0"/>
          <w:kern w:val="2"/>
          <w:sz w:val="32"/>
          <w:lang w:val="en-US" w:eastAsia="zh-CN" w:bidi="ar-SA"/>
        </w:rPr>
      </w:pPr>
    </w:p>
    <w:p w14:paraId="20AE6777">
      <w:pPr>
        <w:widowControl/>
        <w:jc w:val="left"/>
        <w:rPr>
          <w:rFonts w:ascii="Times New Roman" w:hAnsi="Times New Roman" w:eastAsia="楷体_GB2312" w:cs="Times New Roman"/>
          <w:i w:val="0"/>
          <w:iCs w:val="0"/>
          <w:kern w:val="2"/>
          <w:sz w:val="32"/>
          <w:lang w:val="en-US" w:eastAsia="zh-CN" w:bidi="ar-SA"/>
        </w:rPr>
      </w:pPr>
    </w:p>
    <w:p w14:paraId="127FFE08">
      <w:pPr>
        <w:widowControl/>
        <w:jc w:val="left"/>
        <w:rPr>
          <w:rFonts w:ascii="Times New Roman" w:hAnsi="Times New Roman" w:eastAsia="楷体_GB2312" w:cs="Times New Roman"/>
          <w:i w:val="0"/>
          <w:iCs w:val="0"/>
          <w:kern w:val="2"/>
          <w:sz w:val="32"/>
          <w:lang w:val="en-US" w:eastAsia="zh-CN" w:bidi="ar-SA"/>
        </w:rPr>
      </w:pPr>
    </w:p>
    <w:p w14:paraId="5DE81C72">
      <w:pPr>
        <w:widowControl/>
        <w:jc w:val="left"/>
        <w:rPr>
          <w:rFonts w:ascii="Times New Roman" w:hAnsi="Times New Roman" w:eastAsia="楷体_GB2312" w:cs="Times New Roman"/>
          <w:i w:val="0"/>
          <w:iCs w:val="0"/>
          <w:kern w:val="2"/>
          <w:sz w:val="32"/>
          <w:lang w:val="en-US" w:eastAsia="zh-CN" w:bidi="ar-SA"/>
        </w:rPr>
      </w:pPr>
    </w:p>
    <w:p w14:paraId="5795F5ED">
      <w:pPr>
        <w:widowControl/>
        <w:ind w:firstLine="2400" w:firstLineChars="750"/>
        <w:jc w:val="left"/>
        <w:rPr>
          <w:rFonts w:ascii="Times New Roman" w:hAnsi="Times New Roman" w:eastAsia="SimHei" w:cs="Times New Roman"/>
          <w:i w:val="0"/>
          <w:iCs w:val="0"/>
          <w:kern w:val="2"/>
          <w:sz w:val="36"/>
          <w:szCs w:val="36"/>
          <w:lang w:val="en-US" w:eastAsia="zh-CN" w:bidi="ar-SA"/>
        </w:rPr>
      </w:pPr>
      <w:r>
        <w:rPr>
          <w:rFonts w:ascii="Times New Roman" w:hAnsi="Times New Roman" w:eastAsia="楷体_GB2312" w:cs="Times New Roman"/>
          <w:i w:val="0"/>
          <w:iCs w:val="0"/>
          <w:kern w:val="2"/>
          <w:sz w:val="32"/>
          <w:lang w:val="en-US" w:eastAsia="zh-CN" w:bidi="ar-SA"/>
        </w:rPr>
        <w:t>202</w:t>
      </w:r>
      <w:r>
        <w:rPr>
          <w:rFonts w:hint="eastAsia" w:eastAsia="楷体_GB2312" w:cs="Times New Roman"/>
          <w:i w:val="0"/>
          <w:iCs w:val="0"/>
          <w:kern w:val="2"/>
          <w:sz w:val="32"/>
          <w:lang w:val="en-US" w:eastAsia="zh-CN" w:bidi="ar-SA"/>
        </w:rPr>
        <w:t>2</w:t>
      </w:r>
      <w:r>
        <w:rPr>
          <w:rFonts w:ascii="Times New Roman" w:hAnsi="Times New Roman" w:eastAsia="楷体_GB2312" w:cs="Times New Roman"/>
          <w:i w:val="0"/>
          <w:iCs w:val="0"/>
          <w:kern w:val="2"/>
          <w:sz w:val="32"/>
          <w:lang w:val="en-US" w:eastAsia="zh-CN" w:bidi="ar-SA"/>
        </w:rPr>
        <w:t>年</w:t>
      </w:r>
      <w:r>
        <w:rPr>
          <w:rFonts w:hint="eastAsia" w:ascii="Times New Roman" w:hAnsi="Times New Roman" w:eastAsia="楷体_GB2312" w:cs="Times New Roman"/>
          <w:i w:val="0"/>
          <w:iCs w:val="0"/>
          <w:kern w:val="2"/>
          <w:sz w:val="32"/>
          <w:lang w:val="en-US" w:eastAsia="zh-CN" w:bidi="ar-SA"/>
        </w:rPr>
        <w:t xml:space="preserve"> 3 </w:t>
      </w:r>
      <w:r>
        <w:rPr>
          <w:rFonts w:ascii="Times New Roman" w:hAnsi="Times New Roman" w:eastAsia="楷体_GB2312" w:cs="Times New Roman"/>
          <w:i w:val="0"/>
          <w:iCs w:val="0"/>
          <w:kern w:val="2"/>
          <w:sz w:val="32"/>
          <w:lang w:val="en-US" w:eastAsia="zh-CN" w:bidi="ar-SA"/>
        </w:rPr>
        <w:t>月</w:t>
      </w:r>
      <w:r>
        <w:rPr>
          <w:rFonts w:hint="eastAsia" w:ascii="Times New Roman" w:hAnsi="Times New Roman" w:eastAsia="楷体_GB2312" w:cs="Times New Roman"/>
          <w:i w:val="0"/>
          <w:iCs w:val="0"/>
          <w:kern w:val="2"/>
          <w:sz w:val="32"/>
          <w:lang w:val="en-US" w:eastAsia="zh-CN" w:bidi="ar-SA"/>
        </w:rPr>
        <w:t xml:space="preserve"> 8 </w:t>
      </w:r>
      <w:r>
        <w:rPr>
          <w:rFonts w:ascii="Times New Roman" w:hAnsi="Times New Roman" w:eastAsia="楷体_GB2312" w:cs="Times New Roman"/>
          <w:i w:val="0"/>
          <w:iCs w:val="0"/>
          <w:kern w:val="2"/>
          <w:sz w:val="32"/>
          <w:lang w:val="en-US" w:eastAsia="zh-CN" w:bidi="ar-SA"/>
        </w:rPr>
        <w:t>日填表</w:t>
      </w:r>
    </w:p>
    <w:p w14:paraId="6C72D4C3">
      <w:pPr>
        <w:keepNext w:val="0"/>
        <w:keepLines w:val="0"/>
        <w:pageBreakBefore w:val="0"/>
        <w:widowControl/>
        <w:kinsoku/>
        <w:wordWrap/>
        <w:overflowPunct/>
        <w:topLinePunct w:val="0"/>
        <w:autoSpaceDE/>
        <w:autoSpaceDN/>
        <w:bidi w:val="0"/>
        <w:adjustRightInd w:val="0"/>
        <w:snapToGrid w:val="0"/>
        <w:spacing w:before="220" w:beforeLines="50" w:after="220" w:afterLines="50" w:line="360" w:lineRule="auto"/>
        <w:jc w:val="center"/>
        <w:textAlignment w:val="auto"/>
        <w:rPr>
          <w:rFonts w:hint="default" w:ascii="Times New Roman" w:hAnsi="Times New Roman" w:eastAsia="SimHei" w:cs="Times New Roman"/>
          <w:b w:val="0"/>
          <w:bCs w:val="0"/>
          <w:i w:val="0"/>
          <w:iCs w:val="0"/>
          <w:color w:val="auto"/>
          <w:kern w:val="0"/>
          <w:sz w:val="32"/>
          <w:szCs w:val="32"/>
          <w:lang w:val="en-US" w:eastAsia="zh-CN" w:bidi="ar-SA"/>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docGrid w:type="lines" w:linePitch="436" w:charSpace="0"/>
        </w:sectPr>
      </w:pPr>
    </w:p>
    <w:p w14:paraId="7F66049A">
      <w:pPr>
        <w:keepNext w:val="0"/>
        <w:keepLines w:val="0"/>
        <w:pageBreakBefore w:val="0"/>
        <w:widowControl/>
        <w:kinsoku/>
        <w:wordWrap/>
        <w:overflowPunct/>
        <w:topLinePunct w:val="0"/>
        <w:autoSpaceDE/>
        <w:autoSpaceDN/>
        <w:bidi w:val="0"/>
        <w:adjustRightInd w:val="0"/>
        <w:snapToGrid w:val="0"/>
        <w:spacing w:before="220" w:beforeLines="50" w:after="220" w:afterLines="50" w:line="360" w:lineRule="auto"/>
        <w:jc w:val="center"/>
        <w:textAlignment w:val="auto"/>
        <w:rPr>
          <w:rFonts w:hint="default" w:ascii="Times New Roman" w:hAnsi="Times New Roman" w:eastAsia="FangSong" w:cs="Times New Roman"/>
          <w:color w:val="auto"/>
          <w:sz w:val="32"/>
          <w:szCs w:val="32"/>
        </w:rPr>
      </w:pPr>
      <w:r>
        <w:rPr>
          <w:rFonts w:hint="default" w:ascii="Times New Roman" w:hAnsi="Times New Roman" w:eastAsia="SimHei" w:cs="Times New Roman"/>
          <w:b w:val="0"/>
          <w:bCs w:val="0"/>
          <w:i w:val="0"/>
          <w:iCs w:val="0"/>
          <w:color w:val="auto"/>
          <w:kern w:val="0"/>
          <w:sz w:val="32"/>
          <w:szCs w:val="32"/>
          <w:lang w:val="en-US" w:eastAsia="zh-CN" w:bidi="ar-SA"/>
        </w:rPr>
        <w:t>目 录</w:t>
      </w: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TOC \o "1-2" \h \u </w:instrText>
      </w:r>
      <w:r>
        <w:rPr>
          <w:rFonts w:hint="default" w:ascii="Times New Roman" w:hAnsi="Times New Roman" w:eastAsia="FangSong" w:cs="Times New Roman"/>
          <w:color w:val="auto"/>
          <w:kern w:val="2"/>
          <w:sz w:val="32"/>
          <w:szCs w:val="32"/>
          <w:lang w:val="en-US" w:eastAsia="zh-CN" w:bidi="ar-SA"/>
        </w:rPr>
        <w:fldChar w:fldCharType="separate"/>
      </w:r>
    </w:p>
    <w:p w14:paraId="3EDFA508">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_Toc17670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一、本学位授权点年度建设总体情况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_Toc17670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62712B63">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_Toc6463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（一）人才培养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_Toc6463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25830FD">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_Toc2998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（二）师资队伍建设</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_Toc2998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E105796">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_Toc2972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（三）科学研究和社会服务</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_Toc2972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1F84896">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_Toc22521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（四）国际合作交流</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_Toc22521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F97677A">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_Toc22762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（五）传承创新优秀文化</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_Toc22762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0DCBFF5">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_Toc1385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二、本学位授权点建设情况</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_Toc1385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53CC028A">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_Toc3492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（一）人才培养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_Toc3492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2</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4195E42">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_Toc14528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（二）师资队伍</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_Toc14528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8</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093E422">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_Toc25908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（三）科学研究和社会服务</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_Toc25908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10</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8BFE055">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_Toc15175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（四）国际合作交流</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_Toc15175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15</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AB071E8">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_Toc23976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三、质量保障措施</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_Toc23976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328BD39">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_Toc21579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（一）导师指导</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_Toc21579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73C96EE">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_Toc3707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（二）学风建设</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_Toc3707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BDE2D85">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_Toc8011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（三）教学科研支撑</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_Toc8011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18D0CBB">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_Toc8620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（四）奖助体系</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_Toc8620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16</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462B5202">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_Toc25419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（五）权益保障</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_Toc25419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3057FD44">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_Toc20125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（六）经费保障</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_Toc20125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CE8BCE2">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_Toc7367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（七）教学档案</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_Toc7367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2A58E8F4">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_Toc24541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四、存在问题及下一步建设思路</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_Toc24541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7FDD888C">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_Toc13327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（一）存在的问题</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_Toc13327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6E4D08B0">
      <w:pPr>
        <w:pStyle w:val="4"/>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FangSong" w:cs="Times New Roman"/>
          <w:color w:val="auto"/>
          <w:sz w:val="32"/>
          <w:szCs w:val="32"/>
        </w:rPr>
      </w:pPr>
      <w:r>
        <w:rPr>
          <w:rFonts w:hint="default" w:ascii="Times New Roman" w:hAnsi="Times New Roman" w:eastAsia="FangSong" w:cs="Times New Roman"/>
          <w:color w:val="auto"/>
          <w:kern w:val="2"/>
          <w:sz w:val="32"/>
          <w:szCs w:val="32"/>
          <w:lang w:val="en-US" w:eastAsia="zh-CN" w:bidi="ar-SA"/>
        </w:rPr>
        <w:fldChar w:fldCharType="begin"/>
      </w:r>
      <w:r>
        <w:rPr>
          <w:rFonts w:hint="default" w:ascii="Times New Roman" w:hAnsi="Times New Roman" w:eastAsia="FangSong" w:cs="Times New Roman"/>
          <w:color w:val="auto"/>
          <w:kern w:val="2"/>
          <w:sz w:val="32"/>
          <w:szCs w:val="32"/>
          <w:lang w:val="en-US" w:eastAsia="zh-CN" w:bidi="ar-SA"/>
        </w:rPr>
        <w:instrText xml:space="preserve"> HYPERLINK \l _Toc11403 </w:instrText>
      </w:r>
      <w:r>
        <w:rPr>
          <w:rFonts w:hint="default" w:ascii="Times New Roman" w:hAnsi="Times New Roman" w:eastAsia="FangSong" w:cs="Times New Roman"/>
          <w:color w:val="auto"/>
          <w:kern w:val="2"/>
          <w:sz w:val="32"/>
          <w:szCs w:val="32"/>
          <w:lang w:val="en-US" w:eastAsia="zh-CN" w:bidi="ar-SA"/>
        </w:rPr>
        <w:fldChar w:fldCharType="separate"/>
      </w:r>
      <w:r>
        <w:rPr>
          <w:rFonts w:hint="default" w:ascii="Times New Roman" w:hAnsi="Times New Roman" w:eastAsia="SimSun" w:cs="Times New Roman"/>
          <w:b w:val="0"/>
          <w:bCs/>
          <w:i w:val="0"/>
          <w:iCs w:val="0"/>
          <w:color w:val="auto"/>
          <w:kern w:val="2"/>
          <w:sz w:val="28"/>
          <w:szCs w:val="28"/>
          <w:lang w:val="en-US" w:eastAsia="zh-CN" w:bidi="ar-SA"/>
        </w:rPr>
        <w:t>（二）下一步建设思路</w:t>
      </w:r>
      <w:r>
        <w:rPr>
          <w:rFonts w:hint="default" w:ascii="Times New Roman" w:hAnsi="Times New Roman" w:eastAsia="FangSong" w:cs="Times New Roman"/>
          <w:color w:val="auto"/>
          <w:sz w:val="32"/>
          <w:szCs w:val="32"/>
        </w:rPr>
        <w:tab/>
      </w:r>
      <w:r>
        <w:rPr>
          <w:rFonts w:hint="default" w:ascii="Times New Roman" w:hAnsi="Times New Roman" w:eastAsia="FangSong" w:cs="Times New Roman"/>
          <w:color w:val="auto"/>
          <w:sz w:val="32"/>
          <w:szCs w:val="32"/>
        </w:rPr>
        <w:fldChar w:fldCharType="begin"/>
      </w:r>
      <w:r>
        <w:rPr>
          <w:rFonts w:hint="default" w:ascii="Times New Roman" w:hAnsi="Times New Roman" w:eastAsia="FangSong" w:cs="Times New Roman"/>
          <w:color w:val="auto"/>
          <w:sz w:val="32"/>
          <w:szCs w:val="32"/>
        </w:rPr>
        <w:instrText xml:space="preserve"> PAGEREF _Toc11403 \h </w:instrText>
      </w:r>
      <w:r>
        <w:rPr>
          <w:rFonts w:hint="default" w:ascii="Times New Roman" w:hAnsi="Times New Roman" w:eastAsia="FangSong" w:cs="Times New Roman"/>
          <w:color w:val="auto"/>
          <w:sz w:val="32"/>
          <w:szCs w:val="32"/>
        </w:rPr>
        <w:fldChar w:fldCharType="separate"/>
      </w:r>
      <w:r>
        <w:rPr>
          <w:rFonts w:hint="default" w:ascii="Times New Roman" w:hAnsi="Times New Roman" w:eastAsia="FangSong" w:cs="Times New Roman"/>
          <w:color w:val="auto"/>
          <w:sz w:val="32"/>
          <w:szCs w:val="32"/>
        </w:rPr>
        <w:t>17</w:t>
      </w:r>
      <w:r>
        <w:rPr>
          <w:rFonts w:hint="default" w:ascii="Times New Roman" w:hAnsi="Times New Roman" w:eastAsia="FangSong" w:cs="Times New Roman"/>
          <w:color w:val="auto"/>
          <w:sz w:val="32"/>
          <w:szCs w:val="32"/>
        </w:rPr>
        <w:fldChar w:fldCharType="end"/>
      </w:r>
      <w:r>
        <w:rPr>
          <w:rFonts w:hint="default" w:ascii="Times New Roman" w:hAnsi="Times New Roman" w:eastAsia="FangSong" w:cs="Times New Roman"/>
          <w:color w:val="auto"/>
          <w:sz w:val="32"/>
          <w:szCs w:val="32"/>
        </w:rPr>
        <w:fldChar w:fldCharType="end"/>
      </w:r>
    </w:p>
    <w:p w14:paraId="156A89BB">
      <w:pPr>
        <w:pStyle w:val="3"/>
        <w:keepNext w:val="0"/>
        <w:keepLines w:val="0"/>
        <w:pageBreakBefore w:val="0"/>
        <w:widowControl w:val="0"/>
        <w:tabs>
          <w:tab w:val="right" w:leader="dot" w:pos="8312"/>
        </w:tabs>
        <w:kinsoku/>
        <w:wordWrap/>
        <w:overflowPunct/>
        <w:topLinePunct w:val="0"/>
        <w:autoSpaceDE/>
        <w:autoSpaceDN/>
        <w:bidi w:val="0"/>
        <w:adjustRightInd/>
        <w:snapToGrid/>
        <w:spacing w:beforeLines="0" w:afterLines="0" w:line="480" w:lineRule="exact"/>
        <w:textAlignment w:val="auto"/>
        <w:rPr>
          <w:rFonts w:hint="default" w:ascii="Times New Roman" w:hAnsi="Times New Roman" w:eastAsia="SimHei" w:cs="Times New Roman"/>
          <w:color w:val="auto"/>
          <w:kern w:val="2"/>
          <w:sz w:val="36"/>
          <w:szCs w:val="36"/>
          <w:lang w:val="en-US" w:eastAsia="zh-CN" w:bidi="ar-SA"/>
        </w:rPr>
      </w:pPr>
      <w:r>
        <w:rPr>
          <w:rFonts w:hint="default" w:ascii="Times New Roman" w:hAnsi="Times New Roman" w:eastAsia="FangSong" w:cs="Times New Roman"/>
          <w:color w:val="auto"/>
          <w:sz w:val="32"/>
          <w:szCs w:val="32"/>
        </w:rPr>
        <w:fldChar w:fldCharType="end"/>
      </w:r>
    </w:p>
    <w:p w14:paraId="60283193">
      <w:pPr>
        <w:rPr>
          <w:rFonts w:hint="default" w:ascii="Times New Roman" w:hAnsi="Times New Roman" w:eastAsia="方正小标宋简体" w:cs="Times New Roman"/>
          <w:color w:val="auto"/>
          <w:sz w:val="44"/>
          <w:szCs w:val="44"/>
        </w:rPr>
      </w:pPr>
    </w:p>
    <w:p w14:paraId="5A6AF7CF">
      <w:pPr>
        <w:keepNext w:val="0"/>
        <w:keepLines w:val="0"/>
        <w:pageBreakBefore w:val="0"/>
        <w:widowControl w:val="0"/>
        <w:kinsoku/>
        <w:wordWrap/>
        <w:overflowPunct/>
        <w:topLinePunct w:val="0"/>
        <w:autoSpaceDE/>
        <w:autoSpaceDN/>
        <w:bidi w:val="0"/>
        <w:adjustRightInd/>
        <w:snapToGrid w:val="0"/>
        <w:spacing w:after="438" w:afterLines="100" w:line="240" w:lineRule="auto"/>
        <w:ind w:left="-210" w:leftChars="-100" w:right="-210" w:rightChars="-100"/>
        <w:jc w:val="center"/>
        <w:textAlignment w:val="auto"/>
        <w:outlineLvl w:val="0"/>
        <w:rPr>
          <w:rFonts w:hint="default" w:ascii="Times New Roman" w:hAnsi="Times New Roman" w:eastAsia="方正小标宋简体" w:cs="Times New Roman"/>
          <w:color w:val="auto"/>
          <w:sz w:val="44"/>
          <w:szCs w:val="44"/>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docGrid w:type="lines" w:linePitch="436" w:charSpace="0"/>
        </w:sectPr>
      </w:pPr>
    </w:p>
    <w:bookmarkEnd w:id="0"/>
    <w:p w14:paraId="73B5925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SimHei" w:cs="Times New Roman"/>
          <w:b w:val="0"/>
          <w:bCs/>
          <w:color w:val="auto"/>
          <w:kern w:val="2"/>
          <w:sz w:val="30"/>
          <w:szCs w:val="30"/>
          <w:lang w:val="en-US" w:eastAsia="zh-CN" w:bidi="ar-SA"/>
        </w:rPr>
      </w:pPr>
      <w:bookmarkStart w:id="1" w:name="_Toc17670"/>
      <w:r>
        <w:rPr>
          <w:rFonts w:hint="default" w:ascii="Times New Roman" w:hAnsi="Times New Roman" w:eastAsia="SimHei" w:cs="Times New Roman"/>
          <w:b w:val="0"/>
          <w:bCs/>
          <w:color w:val="auto"/>
          <w:kern w:val="2"/>
          <w:sz w:val="30"/>
          <w:szCs w:val="30"/>
          <w:lang w:val="en-US" w:eastAsia="zh-CN" w:bidi="ar-SA"/>
        </w:rPr>
        <w:t>一、本学位授权点年度建设总体情况</w:t>
      </w:r>
      <w:bookmarkEnd w:id="1"/>
    </w:p>
    <w:p w14:paraId="09CD1A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2021年度，在学校各职能部门的指导和支持下，在全院师生的共同努力下，法学硕士学位点建设在各个方面取得了较好的成绩。</w:t>
      </w:r>
    </w:p>
    <w:p w14:paraId="165CDFE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 w:name="_Toc6463"/>
      <w:r>
        <w:rPr>
          <w:rFonts w:hint="default" w:ascii="Times New Roman" w:hAnsi="Times New Roman" w:eastAsia="SimHei" w:cs="Times New Roman"/>
          <w:b w:val="0"/>
          <w:bCs w:val="0"/>
          <w:i w:val="0"/>
          <w:iCs w:val="0"/>
          <w:color w:val="auto"/>
          <w:kern w:val="2"/>
          <w:sz w:val="28"/>
          <w:szCs w:val="28"/>
          <w:lang w:val="en-US" w:eastAsia="zh-CN" w:bidi="ar-SA"/>
        </w:rPr>
        <w:t>（一）人才培养</w:t>
      </w:r>
      <w:bookmarkEnd w:id="2"/>
    </w:p>
    <w:p w14:paraId="2185BD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在人才培养工作中严把质量关，在课程思政、实践基地建设、过程培养方面取得了良好效果。一是强化师生思想政治教育，大力推进课程思政改革，持续抓好学风建设，加强资助育人和学生心理健康教育，全力构建“三全育人”大思政工作体系。二是为积极应对新冠肺炎疫情，努力探索在线教学模式，积累了宝贵教学经验。三是进一步加强校地合作，努力建设校地合作基地。四是研究生培养取得可喜成绩。2021年获得湖南省优秀毕业生1位，研究生共评选出学业奖学金37人、国家奖学金1人。2020年度招生研究生人数28人，授予学位24人，截止当前，研究生就业率100%。</w:t>
      </w:r>
    </w:p>
    <w:p w14:paraId="1C5F391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3" w:name="_Toc2998"/>
      <w:r>
        <w:rPr>
          <w:rFonts w:hint="default" w:ascii="Times New Roman" w:hAnsi="Times New Roman" w:eastAsia="SimHei" w:cs="Times New Roman"/>
          <w:b w:val="0"/>
          <w:bCs w:val="0"/>
          <w:i w:val="0"/>
          <w:iCs w:val="0"/>
          <w:color w:val="auto"/>
          <w:kern w:val="2"/>
          <w:sz w:val="28"/>
          <w:szCs w:val="28"/>
          <w:lang w:val="en-US" w:eastAsia="zh-CN" w:bidi="ar-SA"/>
        </w:rPr>
        <w:t>（二）师资队伍建设</w:t>
      </w:r>
      <w:bookmarkEnd w:id="3"/>
    </w:p>
    <w:p w14:paraId="2DD1E7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本学位点继续加强师资队伍建设，并以师资队伍建设促进学风、院风建设。法学硕士学位授权点现有法学理论、宪法学与行政法学、刑法学、民商法学、环境与资源保护法学五个研究方向，共有研究生导师21名，其中教授11人、副教授10人，有10位导师拥有博士学位。导师培训、考核情况合格，对学生论文质量把控严格，教师进取心强，整体学术水平不断提高。引进2名博士，1人为海外知名高校毕业博士</w:t>
      </w:r>
      <w:r>
        <w:rPr>
          <w:rFonts w:hint="default" w:ascii="Times New Roman" w:hAnsi="Times New Roman" w:eastAsia="SimSun" w:cs="Times New Roman"/>
          <w:i w:val="0"/>
          <w:iCs w:val="0"/>
          <w:color w:val="auto"/>
          <w:kern w:val="2"/>
          <w:sz w:val="24"/>
          <w:szCs w:val="24"/>
          <w:lang w:val="en-US" w:eastAsia="zh-CN" w:bidi="ar-SA"/>
        </w:rPr>
        <w:t>。</w:t>
      </w:r>
      <w:bookmarkStart w:id="24" w:name="_GoBack"/>
    </w:p>
    <w:bookmarkEnd w:id="24"/>
    <w:p w14:paraId="68B57F9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4" w:name="_Toc2972"/>
      <w:r>
        <w:rPr>
          <w:rFonts w:hint="default" w:ascii="Times New Roman" w:hAnsi="Times New Roman" w:eastAsia="SimHei" w:cs="Times New Roman"/>
          <w:b w:val="0"/>
          <w:bCs w:val="0"/>
          <w:i w:val="0"/>
          <w:iCs w:val="0"/>
          <w:color w:val="auto"/>
          <w:kern w:val="2"/>
          <w:sz w:val="28"/>
          <w:szCs w:val="28"/>
          <w:lang w:val="en-US" w:eastAsia="zh-CN" w:bidi="ar-SA"/>
        </w:rPr>
        <w:t>（三）科学研究和社会服务</w:t>
      </w:r>
      <w:bookmarkEnd w:id="4"/>
    </w:p>
    <w:p w14:paraId="283ECB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年度累计发表论文21篇，CSSCI期刊2篇，英文SCI（三区）1篇，教研论文1篇，译文1篇，省级刊物14篇，民主与法制时报2篇。2021年胡潇潇副教授参与完成的项目获得了全国人大常委会副委员长张春贤的肯定性批示，并在湖南省人大常委会“一法两条例”执法检查中被采用；蒋兰香教授参与的课题组成果得到省委常委、统战部部长黄兰香的肯定性批示。湖南省第十五届社科成果三等奖1项。湖南省社会科学普及网上答题优秀组织个人1项。湖南省教育厅科学研究工作者协会优秀论文二等奖2项，哲寻杯华中地区公共管理案例大赛特等奖1项、最佳公共管理方案奖1项，获得中南林业科技大学首批放心课程4项，中南林业科技大学“互联网+”三等奖1项。截止2021年12月1日，我院获得国家社科基金一般项目1项，中共湖南省教育工作委员会课题1项，湖南省教育科学规划办课题1项，湖南省林业局项目3项，湖南省学位与研究生教学改革研究项目1项，湖南省创新创业大赛项目1项，国家创新创业项目1项。2021年横向科研项目11项，合同金额140.08万。</w:t>
      </w:r>
    </w:p>
    <w:p w14:paraId="3C578C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积极参加社会服务工作。参与全国人大环资委、全国人大法工委、中国法学会、国家林业和草原局、湖南省人民检察院、湖南省林业局、湖南省司法厅、湖南省生态环境厅、长沙市人大常委会等组织的立法论证、专家咨询等社会服务活动，积极开展各项普法工作，参与地方政府法治建设与地方政府领导能力建设，为依法治国和法治政府建设贡献智慧。</w:t>
      </w:r>
    </w:p>
    <w:p w14:paraId="772802C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5" w:name="_Toc22521"/>
      <w:r>
        <w:rPr>
          <w:rFonts w:hint="default" w:ascii="Times New Roman" w:hAnsi="Times New Roman" w:eastAsia="SimHei" w:cs="Times New Roman"/>
          <w:b w:val="0"/>
          <w:bCs w:val="0"/>
          <w:i w:val="0"/>
          <w:iCs w:val="0"/>
          <w:color w:val="auto"/>
          <w:kern w:val="2"/>
          <w:sz w:val="28"/>
          <w:szCs w:val="28"/>
          <w:lang w:val="en-US" w:eastAsia="zh-CN" w:bidi="ar-SA"/>
        </w:rPr>
        <w:t>（四）国际合作交流</w:t>
      </w:r>
      <w:bookmarkEnd w:id="5"/>
    </w:p>
    <w:p w14:paraId="717D4C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引进1名海外知名大学毕业的博士，多名学生走出国门留学升造。此外，本年度计划招收法学硕士点国际留学生1人，推荐李敏博士为国际生导师，具体研究方向为民商法学，采取中文授课形式。</w:t>
      </w:r>
    </w:p>
    <w:p w14:paraId="23228EA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6" w:name="_Toc22762"/>
      <w:r>
        <w:rPr>
          <w:rFonts w:hint="default" w:ascii="Times New Roman" w:hAnsi="Times New Roman" w:eastAsia="SimHei" w:cs="Times New Roman"/>
          <w:b w:val="0"/>
          <w:bCs w:val="0"/>
          <w:i w:val="0"/>
          <w:iCs w:val="0"/>
          <w:color w:val="auto"/>
          <w:kern w:val="2"/>
          <w:sz w:val="28"/>
          <w:szCs w:val="28"/>
          <w:lang w:val="en-US" w:eastAsia="zh-CN" w:bidi="ar-SA"/>
        </w:rPr>
        <w:t>（五）传承创新优秀文化</w:t>
      </w:r>
      <w:bookmarkEnd w:id="6"/>
    </w:p>
    <w:p w14:paraId="728855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2021年度我院邀请长沙理工大学法学院院长一行人到我院进行交流，邀请毕业校友开展职业规划讲座多次，并大力支持本院教师及研究生参加各类省内外学术会议及各类学科竞赛，年度累计参会40余人次，学院老师受邀为社会各界开展学术讲座近10次。</w:t>
      </w:r>
    </w:p>
    <w:p w14:paraId="4FCE303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SimHei" w:cs="Times New Roman"/>
          <w:b w:val="0"/>
          <w:bCs/>
          <w:color w:val="auto"/>
          <w:kern w:val="2"/>
          <w:sz w:val="30"/>
          <w:szCs w:val="30"/>
          <w:lang w:val="en-US" w:eastAsia="zh-CN" w:bidi="ar-SA"/>
        </w:rPr>
      </w:pPr>
      <w:bookmarkStart w:id="7" w:name="_Toc1385"/>
      <w:r>
        <w:rPr>
          <w:rFonts w:hint="default" w:ascii="Times New Roman" w:hAnsi="Times New Roman" w:eastAsia="SimHei" w:cs="Times New Roman"/>
          <w:b w:val="0"/>
          <w:bCs/>
          <w:color w:val="auto"/>
          <w:kern w:val="2"/>
          <w:sz w:val="30"/>
          <w:szCs w:val="30"/>
          <w:lang w:val="en-US" w:eastAsia="zh-CN" w:bidi="ar-SA"/>
        </w:rPr>
        <w:t>二、本学位授权点建设情况</w:t>
      </w:r>
      <w:bookmarkEnd w:id="7"/>
    </w:p>
    <w:p w14:paraId="2B0E2BF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8" w:name="_Toc3492"/>
      <w:r>
        <w:rPr>
          <w:rFonts w:hint="default" w:ascii="Times New Roman" w:hAnsi="Times New Roman" w:eastAsia="SimHei" w:cs="Times New Roman"/>
          <w:b w:val="0"/>
          <w:bCs w:val="0"/>
          <w:i w:val="0"/>
          <w:iCs w:val="0"/>
          <w:color w:val="auto"/>
          <w:kern w:val="2"/>
          <w:sz w:val="28"/>
          <w:szCs w:val="28"/>
          <w:lang w:val="en-US" w:eastAsia="zh-CN" w:bidi="ar-SA"/>
        </w:rPr>
        <w:t>（一）人才培养</w:t>
      </w:r>
      <w:bookmarkEnd w:id="8"/>
    </w:p>
    <w:p w14:paraId="0F8AA8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思想政治教育特色与成效</w:t>
      </w:r>
    </w:p>
    <w:p w14:paraId="1C96DE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1）思想政治教育特色。为深入贯彻落实全国高校思想政治工作会议精神，本学科坚持办学正确政治方向，认真落实“立德树人”根本任务，以“学生思政”“教师思政”“课程思政”“学科思政”等为抓手，挖掘育人要素，完善育人机制，优化评价激励，强化实施保障，切实构建“十大”育人体系，“三全育人”格局已然形成。其中，在以下五个方面主要做法如下：</w:t>
      </w:r>
    </w:p>
    <w:p w14:paraId="44ED7A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①课程思政改革。一是依托学科自身教师资源，以全国优秀教师蒋兰香、湖南省优秀教师向佐群等为骨干，组建一支课程思政优秀教师团队；二是紧扣学科“生态”特色，遴选和建设一批优秀教材，将习近平法治思想等思政元素有机融入教学全过程；三是提炼一系列“课程思政”教育教学改革典型经验和经典案例，通过教学观摩、专题讲学等多种方式，打造一批“课程思政”示范课堂；四是通过校院系三级督导评价、学生评教、五个学科方向教师互评、系党支部、院党委两级党组织评审把关，构建一套四位一体的“课程思政”教育教学质量考核评价体系。</w:t>
      </w:r>
    </w:p>
    <w:p w14:paraId="0A53CA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 xml:space="preserve">    ②社会实践开展。一是利用区域优势，大力建设产学研基地，强化校地、校企合作，拓展实践基地，开展创新创业、实训实践工作；二是结合学科特色，大力开展普法宣讲、关爱留守儿童、社区服务、支教帮扶、精准扶贫等系列公益服务活动；三是发挥学科优势，组建团队开展服务农民工法治宣传、农民工权益保护以及律师调解等系列社会实践活动；四是运用资源优势，组织开展“庭审进校园”“法院开放日”、模拟法庭大赛、法律案例大赛、法律实践能力大赛、“学宪法、讲宪法”系列竞赛等实践活动。</w:t>
      </w:r>
    </w:p>
    <w:p w14:paraId="5FD84D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③意识形态阵地管理。实行党委统一领导，党政齐抓共管，严格落实“一岗双责”。严格掌控“立德树人”主渠道课堂教学质量关，实施党政领导、教学督导、支部书记、系主任进课堂听课评课制度；成立工作专班，对教材选用进行意识形态专项审核；对讲座、报告等实行“一会一报”审查制度；对网站、新媒体等宣传阵地实行“三审制”，由学院党委书记总把关。对意识形态重点领域、重点人群，以事前预防为主、事中盯防为重，事后一对一教育帮扶。</w:t>
      </w:r>
    </w:p>
    <w:p w14:paraId="082BC8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④基层党组织建设。在学院党委的领导下，本学科设置了教职工、研究生和本科生三个党支部，支部书记分别由系主任、学术骨干教师和辅导员担任，全部履行“一岗双责”，教师党支部书记纳入“双带头人”培育工程。</w:t>
      </w:r>
    </w:p>
    <w:p w14:paraId="646908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⑤思政队伍建设。思政队伍实行专兼两结合，校院系三级管理，构建辅导员、支部书记、班主任、导师以及师生党员五位一体思政队伍管理模式</w:t>
      </w:r>
      <w:r>
        <w:rPr>
          <w:rFonts w:hint="default" w:ascii="Times New Roman" w:hAnsi="Times New Roman" w:eastAsia="SimSun" w:cs="Times New Roman"/>
          <w:i w:val="0"/>
          <w:iCs w:val="0"/>
          <w:color w:val="auto"/>
          <w:kern w:val="2"/>
          <w:sz w:val="24"/>
          <w:szCs w:val="24"/>
          <w:lang w:val="en-US" w:eastAsia="zh-CN" w:bidi="ar-SA"/>
        </w:rPr>
        <w:t>。</w:t>
      </w:r>
    </w:p>
    <w:p w14:paraId="467BCA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（2）</w:t>
      </w:r>
      <w:r>
        <w:rPr>
          <w:rFonts w:hint="default" w:ascii="Times New Roman" w:hAnsi="Times New Roman" w:eastAsia="SimSun" w:cs="Times New Roman"/>
          <w:i w:val="0"/>
          <w:iCs w:val="0"/>
          <w:color w:val="auto"/>
          <w:kern w:val="2"/>
          <w:sz w:val="24"/>
          <w:szCs w:val="24"/>
          <w:lang w:val="en-US" w:eastAsia="zh-CN" w:bidi="ar-SA"/>
        </w:rPr>
        <w:t>思想政治教育成效</w:t>
      </w:r>
    </w:p>
    <w:p w14:paraId="2CA4F0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①政治建设取得新发展。一是党的全面领导更加有力。全面规范学院党委会、党政联席会决策制度，强化对学术组织、群团组织的政治领导，保证党的全面领导有机贯穿融入立德树人全过程；二是基层党组织组织力显著提高。通过开展新时代党建示范创建和质量创优工作，实现了党支部“五化”建设全达标，教师党支部书记“双带头人”全实现，党支部书记培训全覆盖；三是学生党员发展质量得到保证，先锋模范作用得到充分发挥。</w:t>
      </w:r>
    </w:p>
    <w:p w14:paraId="26E0C7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②思想政治工作呈现新气象。一是“三全育人”工作新格局已形成。在人员上全参与，做到人人育人，在时间上全连续，做到时时育人，在空间上全覆盖，做到处处育人；二是大“思政教育”体系已完善，思想政治教育更精准，课程、科研、实践、文化、网络、心理、管理、服务、资助、组织等十大育人功能得以充分发挥。</w:t>
      </w:r>
    </w:p>
    <w:p w14:paraId="297DDD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③师生榜样力量获得新成效。师生党员先锋模范得到充分彰显。近五年，师生获得校级以上优秀共产党员、优秀党务工作者、教学工作先进个人等称号20余人次。2021年，曹芳、阳永恒、石凯、熊玲君、匡娉婷在教学、党务、班级等各项工作中获得先进个人称号。</w:t>
      </w:r>
    </w:p>
    <w:p w14:paraId="42D40F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第一课堂、第二课堂成果喜人。近五年，本学科学生获得国家奖学金、国家励志奖学金、国家助学金等资助率达90%以上；学生参加的各类学科竞赛获省级以上奖励多项，如：第三届“学宪法讲宪法”活动全国总决赛团体三等奖、第七届全国法律英语大赛演讲比赛一等奖、第五届和第六届湖南省大学生模拟法庭竞赛团体一等奖、湖南省第四届“漾翅杯”法律实践能力大赛一等奖。湖南省研究生案例大赛三等奖等优异成绩</w:t>
      </w:r>
      <w:r>
        <w:rPr>
          <w:rFonts w:hint="default" w:ascii="Times New Roman" w:hAnsi="Times New Roman" w:eastAsia="SimSun" w:cs="Times New Roman"/>
          <w:i w:val="0"/>
          <w:iCs w:val="0"/>
          <w:color w:val="auto"/>
          <w:kern w:val="2"/>
          <w:sz w:val="24"/>
          <w:szCs w:val="24"/>
          <w:lang w:val="en-US" w:eastAsia="zh-CN" w:bidi="ar-SA"/>
        </w:rPr>
        <w:t>。</w:t>
      </w:r>
    </w:p>
    <w:p w14:paraId="1009FD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培养过程</w:t>
      </w:r>
    </w:p>
    <w:p w14:paraId="6D7B3F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法学专业在历年研究生教学积累的经验基础上，依据学校各项规章制度，逐步建立了教学质量标准体系，涵盖任课教师资格、理论教学、实践教学、课程考核、教学档案管理等主要教学环节，对课前准备、课堂教学、实习实践、毕业论文等环节的教学质量都进行了明确、具体的规定，经过多年教学实践的检验，这套质量标准是科学可行的，得到了广大师生的普遍认可。各主要教学环节的质量标准齐全；建立的质量标准科学、可行。</w:t>
      </w:r>
    </w:p>
    <w:p w14:paraId="1154EA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2021年积极组织研究生参加湖南省高校研究生法律案例大赛和湖南省知识产权竞赛并取得不错的成绩，积极申报研究生创新基金项目，定期召开研究生读书报告会、学习分享会，通过各种方式广泛开展学术交流和讨论。本年度学院研究生获得湖南省研究生科技创新项目1项，校级项目2项，共计发表论文6篇，《催收非法债务行为的刑法规制》获得湖南省法学会案例法学研究会2021年学术年会征文三等奖，《乡村振兴视野下农村留守儿童的权利保护与实践》获得广东省法学会法律风险管理研究会2021年学术年会征文三等奖，《流域生态环境协同治理法律探析》《生态环境损害赔偿磋商制度十大典型案例实证研究》分别获得湖南省法学会环境资源法学研究会2021年学术年会征文二等奖、优胜奖。2021届毕业研究生就业率达到100%，其中三人出国深造，分别就读于哥本哈根（University of Copenhagen 杨洁）、加州大学尔湾分校（University of California, Irvine 李蜀南）、南加州大学（university of southern California 王怡涵）。此外，2021年还招收了5位同等学力法学研究生，在研究生培养工作上更进一步。</w:t>
      </w:r>
    </w:p>
    <w:p w14:paraId="7B1618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 出版教材</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8"/>
        <w:gridCol w:w="1387"/>
        <w:gridCol w:w="1039"/>
        <w:gridCol w:w="1039"/>
        <w:gridCol w:w="1266"/>
        <w:gridCol w:w="1039"/>
        <w:gridCol w:w="1040"/>
        <w:gridCol w:w="1040"/>
      </w:tblGrid>
      <w:tr w14:paraId="4D82F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jc w:val="center"/>
        </w:trPr>
        <w:tc>
          <w:tcPr>
            <w:tcW w:w="688" w:type="dxa"/>
            <w:vAlign w:val="center"/>
          </w:tcPr>
          <w:p w14:paraId="1E486A0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387" w:type="dxa"/>
            <w:vAlign w:val="center"/>
          </w:tcPr>
          <w:p w14:paraId="08AE104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教材名称</w:t>
            </w:r>
          </w:p>
        </w:tc>
        <w:tc>
          <w:tcPr>
            <w:tcW w:w="1039" w:type="dxa"/>
            <w:vAlign w:val="center"/>
          </w:tcPr>
          <w:p w14:paraId="7ACF6FF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主要作者/译者</w:t>
            </w:r>
          </w:p>
        </w:tc>
        <w:tc>
          <w:tcPr>
            <w:tcW w:w="1039" w:type="dxa"/>
            <w:vAlign w:val="center"/>
          </w:tcPr>
          <w:p w14:paraId="0F60E56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署名</w:t>
            </w:r>
          </w:p>
          <w:p w14:paraId="2DFB9EF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情况</w:t>
            </w:r>
          </w:p>
        </w:tc>
        <w:tc>
          <w:tcPr>
            <w:tcW w:w="1266" w:type="dxa"/>
            <w:vAlign w:val="center"/>
          </w:tcPr>
          <w:p w14:paraId="7C114E7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出版/</w:t>
            </w:r>
          </w:p>
          <w:p w14:paraId="012EC57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再版时间</w:t>
            </w:r>
          </w:p>
        </w:tc>
        <w:tc>
          <w:tcPr>
            <w:tcW w:w="1039" w:type="dxa"/>
            <w:vAlign w:val="center"/>
          </w:tcPr>
          <w:p w14:paraId="61350D6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出版社</w:t>
            </w:r>
          </w:p>
        </w:tc>
        <w:tc>
          <w:tcPr>
            <w:tcW w:w="1040" w:type="dxa"/>
            <w:vAlign w:val="center"/>
          </w:tcPr>
          <w:p w14:paraId="09809B8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版次</w:t>
            </w:r>
          </w:p>
        </w:tc>
        <w:tc>
          <w:tcPr>
            <w:tcW w:w="1040" w:type="dxa"/>
            <w:vAlign w:val="center"/>
          </w:tcPr>
          <w:p w14:paraId="74AAE54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备注</w:t>
            </w:r>
          </w:p>
        </w:tc>
      </w:tr>
      <w:tr w14:paraId="7A997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7" w:hRule="exact"/>
          <w:jc w:val="center"/>
        </w:trPr>
        <w:tc>
          <w:tcPr>
            <w:tcW w:w="688" w:type="dxa"/>
            <w:vAlign w:val="center"/>
          </w:tcPr>
          <w:p w14:paraId="6FE139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eastAsia="STFangsong" w:cs="Times New Roman"/>
                <w:bCs/>
                <w:color w:val="auto"/>
                <w:sz w:val="21"/>
                <w:szCs w:val="21"/>
              </w:rPr>
            </w:pPr>
            <w:r>
              <w:rPr>
                <w:rFonts w:hint="default" w:ascii="Times New Roman" w:hAnsi="Times New Roman" w:eastAsia="STFangsong" w:cs="Times New Roman"/>
                <w:bCs/>
                <w:color w:val="auto"/>
                <w:sz w:val="21"/>
                <w:szCs w:val="21"/>
              </w:rPr>
              <w:t>1</w:t>
            </w:r>
          </w:p>
        </w:tc>
        <w:tc>
          <w:tcPr>
            <w:tcW w:w="1387" w:type="dxa"/>
            <w:vAlign w:val="center"/>
          </w:tcPr>
          <w:p w14:paraId="2B0891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eastAsia="STFangsong" w:cs="Times New Roman"/>
                <w:bCs/>
                <w:color w:val="auto"/>
                <w:sz w:val="21"/>
                <w:szCs w:val="21"/>
              </w:rPr>
            </w:pPr>
            <w:r>
              <w:rPr>
                <w:rFonts w:hint="default" w:ascii="Times New Roman" w:hAnsi="Times New Roman" w:cs="Times New Roman" w:eastAsiaTheme="majorEastAsia"/>
                <w:bCs/>
                <w:color w:val="auto"/>
                <w:sz w:val="21"/>
                <w:szCs w:val="21"/>
              </w:rPr>
              <w:t>环境行政执法中刑案移送与司法承接的衔接机制研究</w:t>
            </w:r>
          </w:p>
        </w:tc>
        <w:tc>
          <w:tcPr>
            <w:tcW w:w="1039" w:type="dxa"/>
            <w:vAlign w:val="center"/>
          </w:tcPr>
          <w:p w14:paraId="4539C9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蒋兰香</w:t>
            </w:r>
          </w:p>
        </w:tc>
        <w:tc>
          <w:tcPr>
            <w:tcW w:w="1039" w:type="dxa"/>
            <w:vAlign w:val="center"/>
          </w:tcPr>
          <w:p w14:paraId="699929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主编</w:t>
            </w:r>
          </w:p>
        </w:tc>
        <w:tc>
          <w:tcPr>
            <w:tcW w:w="1266" w:type="dxa"/>
            <w:vAlign w:val="center"/>
          </w:tcPr>
          <w:p w14:paraId="0FC4AC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2020</w:t>
            </w:r>
            <w:r>
              <w:rPr>
                <w:rFonts w:hint="default" w:ascii="Times New Roman" w:hAnsi="Times New Roman" w:cs="Times New Roman" w:eastAsiaTheme="majorEastAsia"/>
                <w:bCs/>
                <w:color w:val="auto"/>
                <w:sz w:val="21"/>
                <w:szCs w:val="21"/>
                <w:lang w:val="en-US" w:eastAsia="zh-CN"/>
              </w:rPr>
              <w:t>12</w:t>
            </w:r>
          </w:p>
        </w:tc>
        <w:tc>
          <w:tcPr>
            <w:tcW w:w="1039" w:type="dxa"/>
            <w:vAlign w:val="center"/>
          </w:tcPr>
          <w:p w14:paraId="61ABB7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中国政法大学</w:t>
            </w:r>
            <w:r>
              <w:rPr>
                <w:rFonts w:hint="default" w:ascii="Times New Roman" w:hAnsi="Times New Roman" w:cs="Times New Roman" w:eastAsiaTheme="majorEastAsia"/>
                <w:bCs/>
                <w:color w:val="auto"/>
                <w:sz w:val="21"/>
                <w:szCs w:val="21"/>
              </w:rPr>
              <w:t>出版社</w:t>
            </w:r>
          </w:p>
        </w:tc>
        <w:tc>
          <w:tcPr>
            <w:tcW w:w="1040" w:type="dxa"/>
            <w:vAlign w:val="center"/>
          </w:tcPr>
          <w:p w14:paraId="49AC17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第1版</w:t>
            </w:r>
          </w:p>
        </w:tc>
        <w:tc>
          <w:tcPr>
            <w:tcW w:w="1040" w:type="dxa"/>
            <w:vAlign w:val="center"/>
          </w:tcPr>
          <w:p w14:paraId="61BB20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eastAsia="STFangsong" w:cs="Times New Roman"/>
                <w:bCs/>
                <w:color w:val="auto"/>
                <w:sz w:val="21"/>
                <w:szCs w:val="21"/>
              </w:rPr>
            </w:pPr>
          </w:p>
        </w:tc>
      </w:tr>
    </w:tbl>
    <w:p w14:paraId="3F9DFC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p>
    <w:p w14:paraId="562E75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表2 教学成果奖</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4"/>
        <w:gridCol w:w="1683"/>
        <w:gridCol w:w="1850"/>
        <w:gridCol w:w="1588"/>
        <w:gridCol w:w="1496"/>
        <w:gridCol w:w="1187"/>
      </w:tblGrid>
      <w:tr w14:paraId="55AF1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4" w:type="dxa"/>
            <w:vAlign w:val="center"/>
          </w:tcPr>
          <w:p w14:paraId="4AC6776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683" w:type="dxa"/>
            <w:vAlign w:val="center"/>
          </w:tcPr>
          <w:p w14:paraId="4C22E7B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获奖成果名称</w:t>
            </w:r>
          </w:p>
        </w:tc>
        <w:tc>
          <w:tcPr>
            <w:tcW w:w="1850" w:type="dxa"/>
            <w:vAlign w:val="center"/>
          </w:tcPr>
          <w:p w14:paraId="44FBD21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获奖类别及等级</w:t>
            </w:r>
          </w:p>
        </w:tc>
        <w:tc>
          <w:tcPr>
            <w:tcW w:w="1588" w:type="dxa"/>
            <w:vAlign w:val="center"/>
          </w:tcPr>
          <w:p w14:paraId="72A9628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授予部门</w:t>
            </w:r>
          </w:p>
        </w:tc>
        <w:tc>
          <w:tcPr>
            <w:tcW w:w="1496" w:type="dxa"/>
            <w:vAlign w:val="center"/>
          </w:tcPr>
          <w:p w14:paraId="3DC5297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成果完成人</w:t>
            </w:r>
          </w:p>
        </w:tc>
        <w:tc>
          <w:tcPr>
            <w:tcW w:w="1187" w:type="dxa"/>
            <w:vAlign w:val="center"/>
          </w:tcPr>
          <w:p w14:paraId="3007BFC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单位排名</w:t>
            </w:r>
          </w:p>
        </w:tc>
      </w:tr>
      <w:tr w14:paraId="771E54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4" w:type="dxa"/>
            <w:vAlign w:val="center"/>
          </w:tcPr>
          <w:p w14:paraId="2EAB0C8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exact"/>
              <w:ind w:left="0" w:leftChars="0" w:right="0" w:rightChars="0" w:firstLine="0"/>
              <w:jc w:val="center"/>
              <w:rPr>
                <w:rFonts w:hint="default" w:ascii="Times New Roman" w:hAnsi="Times New Roman" w:eastAsia="STFangsong" w:cs="Times New Roman"/>
                <w:color w:val="auto"/>
                <w:sz w:val="21"/>
                <w:szCs w:val="21"/>
                <w:lang w:val="en-US" w:eastAsia="zh-CN"/>
              </w:rPr>
            </w:pPr>
          </w:p>
        </w:tc>
        <w:tc>
          <w:tcPr>
            <w:tcW w:w="1683" w:type="dxa"/>
            <w:vAlign w:val="center"/>
          </w:tcPr>
          <w:p w14:paraId="52140F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1850" w:type="dxa"/>
            <w:vAlign w:val="center"/>
          </w:tcPr>
          <w:p w14:paraId="5F8319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588" w:type="dxa"/>
            <w:vAlign w:val="center"/>
          </w:tcPr>
          <w:p w14:paraId="36C07F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496" w:type="dxa"/>
            <w:vAlign w:val="center"/>
          </w:tcPr>
          <w:p w14:paraId="049C53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187" w:type="dxa"/>
            <w:vAlign w:val="center"/>
          </w:tcPr>
          <w:p w14:paraId="045BD9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r>
    </w:tbl>
    <w:p w14:paraId="106591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p>
    <w:p w14:paraId="133770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表3  学生代表性成果（限20项）</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88"/>
        <w:gridCol w:w="1032"/>
        <w:gridCol w:w="906"/>
        <w:gridCol w:w="2816"/>
        <w:gridCol w:w="1482"/>
      </w:tblGrid>
      <w:tr w14:paraId="2C48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514" w:type="dxa"/>
            <w:tcBorders>
              <w:tl2br w:val="nil"/>
              <w:tr2bl w:val="nil"/>
            </w:tcBorders>
            <w:vAlign w:val="center"/>
          </w:tcPr>
          <w:p w14:paraId="1CFD4FE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788" w:type="dxa"/>
            <w:tcBorders>
              <w:tl2br w:val="nil"/>
              <w:tr2bl w:val="nil"/>
            </w:tcBorders>
            <w:vAlign w:val="center"/>
          </w:tcPr>
          <w:p w14:paraId="02C847D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p w14:paraId="7082C64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（入学时间，学位类型，学习方式）</w:t>
            </w:r>
          </w:p>
        </w:tc>
        <w:tc>
          <w:tcPr>
            <w:tcW w:w="1032" w:type="dxa"/>
            <w:tcBorders>
              <w:tl2br w:val="nil"/>
              <w:tr2bl w:val="nil"/>
            </w:tcBorders>
            <w:vAlign w:val="center"/>
          </w:tcPr>
          <w:p w14:paraId="72A6C79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成果类别</w:t>
            </w:r>
          </w:p>
        </w:tc>
        <w:tc>
          <w:tcPr>
            <w:tcW w:w="906" w:type="dxa"/>
            <w:tcBorders>
              <w:tl2br w:val="nil"/>
              <w:tr2bl w:val="nil"/>
            </w:tcBorders>
            <w:vAlign w:val="center"/>
          </w:tcPr>
          <w:p w14:paraId="252CA33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获得</w:t>
            </w:r>
          </w:p>
          <w:p w14:paraId="2E0B2B5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2816" w:type="dxa"/>
            <w:tcBorders>
              <w:tl2br w:val="nil"/>
              <w:tr2bl w:val="nil"/>
            </w:tcBorders>
            <w:vAlign w:val="center"/>
          </w:tcPr>
          <w:p w14:paraId="2612639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成果简介</w:t>
            </w:r>
          </w:p>
        </w:tc>
        <w:tc>
          <w:tcPr>
            <w:tcW w:w="1482" w:type="dxa"/>
            <w:tcBorders>
              <w:tl2br w:val="nil"/>
              <w:tr2bl w:val="nil"/>
            </w:tcBorders>
            <w:vAlign w:val="center"/>
          </w:tcPr>
          <w:p w14:paraId="5664B26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学生参与情况</w:t>
            </w:r>
          </w:p>
        </w:tc>
      </w:tr>
      <w:tr w14:paraId="2699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4" w:type="dxa"/>
            <w:vMerge w:val="restart"/>
            <w:tcBorders>
              <w:tl2br w:val="nil"/>
              <w:tr2bl w:val="nil"/>
            </w:tcBorders>
            <w:vAlign w:val="center"/>
          </w:tcPr>
          <w:p w14:paraId="466F60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b w:val="0"/>
                <w:bCs/>
                <w:color w:val="auto"/>
                <w:sz w:val="21"/>
                <w:szCs w:val="21"/>
              </w:rPr>
            </w:pPr>
            <w:r>
              <w:rPr>
                <w:rFonts w:hint="default" w:ascii="Times New Roman" w:hAnsi="Times New Roman" w:eastAsia="STFangsong" w:cs="Times New Roman"/>
                <w:b w:val="0"/>
                <w:bCs/>
                <w:color w:val="auto"/>
                <w:sz w:val="21"/>
                <w:szCs w:val="21"/>
              </w:rPr>
              <w:t>1</w:t>
            </w:r>
          </w:p>
        </w:tc>
        <w:tc>
          <w:tcPr>
            <w:tcW w:w="1788" w:type="dxa"/>
            <w:vMerge w:val="restart"/>
            <w:tcBorders>
              <w:tl2br w:val="nil"/>
              <w:tr2bl w:val="nil"/>
            </w:tcBorders>
            <w:vAlign w:val="center"/>
          </w:tcPr>
          <w:p w14:paraId="0DB8F8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刘宇琪</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20</w:t>
            </w:r>
            <w:r>
              <w:rPr>
                <w:rFonts w:hint="default" w:ascii="Times New Roman" w:hAnsi="Times New Roman" w:cs="Times New Roman" w:eastAsiaTheme="majorEastAsia"/>
                <w:bCs/>
                <w:color w:val="auto"/>
                <w:sz w:val="21"/>
                <w:szCs w:val="21"/>
              </w:rPr>
              <w:t>09，学术学位硕士，全日制）</w:t>
            </w:r>
          </w:p>
        </w:tc>
        <w:tc>
          <w:tcPr>
            <w:tcW w:w="1032" w:type="dxa"/>
            <w:vMerge w:val="restart"/>
            <w:tcBorders>
              <w:tl2br w:val="nil"/>
              <w:tr2bl w:val="nil"/>
            </w:tcBorders>
            <w:vAlign w:val="center"/>
          </w:tcPr>
          <w:p w14:paraId="338840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学术成果</w:t>
            </w:r>
            <w:r>
              <w:rPr>
                <w:rFonts w:hint="default" w:ascii="Times New Roman" w:hAnsi="Times New Roman" w:cs="Times New Roman" w:eastAsiaTheme="majorEastAsia"/>
                <w:bCs/>
                <w:color w:val="auto"/>
                <w:sz w:val="21"/>
                <w:szCs w:val="21"/>
                <w:lang w:val="en-US" w:eastAsia="zh-CN"/>
              </w:rPr>
              <w:t>与获奖</w:t>
            </w:r>
          </w:p>
        </w:tc>
        <w:tc>
          <w:tcPr>
            <w:tcW w:w="906" w:type="dxa"/>
            <w:tcBorders>
              <w:tl2br w:val="nil"/>
              <w:tr2bl w:val="nil"/>
            </w:tcBorders>
            <w:vAlign w:val="center"/>
          </w:tcPr>
          <w:p w14:paraId="578F68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0</w:t>
            </w:r>
            <w:r>
              <w:rPr>
                <w:rFonts w:hint="default" w:ascii="Times New Roman" w:hAnsi="Times New Roman" w:cs="Times New Roman" w:eastAsiaTheme="majorEastAsia"/>
                <w:bCs/>
                <w:color w:val="auto"/>
                <w:sz w:val="21"/>
                <w:szCs w:val="21"/>
                <w:lang w:val="en-US" w:eastAsia="zh-CN"/>
              </w:rPr>
              <w:t>7</w:t>
            </w:r>
          </w:p>
        </w:tc>
        <w:tc>
          <w:tcPr>
            <w:tcW w:w="2816" w:type="dxa"/>
            <w:tcBorders>
              <w:tl2br w:val="nil"/>
              <w:tr2bl w:val="nil"/>
            </w:tcBorders>
            <w:vAlign w:val="center"/>
          </w:tcPr>
          <w:p w14:paraId="06F25C8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湖南省研究生科技创新项目</w:t>
            </w:r>
          </w:p>
        </w:tc>
        <w:tc>
          <w:tcPr>
            <w:tcW w:w="1482" w:type="dxa"/>
            <w:tcBorders>
              <w:tl2br w:val="nil"/>
              <w:tr2bl w:val="nil"/>
            </w:tcBorders>
            <w:vAlign w:val="center"/>
          </w:tcPr>
          <w:p w14:paraId="56379E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项目主持人</w:t>
            </w:r>
          </w:p>
        </w:tc>
      </w:tr>
      <w:tr w14:paraId="7D4B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4" w:type="dxa"/>
            <w:vMerge w:val="continue"/>
            <w:tcBorders>
              <w:tl2br w:val="nil"/>
              <w:tr2bl w:val="nil"/>
            </w:tcBorders>
            <w:vAlign w:val="center"/>
          </w:tcPr>
          <w:p w14:paraId="36F638E5">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cs="Times New Roman"/>
                <w:color w:val="auto"/>
                <w:sz w:val="21"/>
                <w:szCs w:val="21"/>
              </w:rPr>
            </w:pPr>
          </w:p>
        </w:tc>
        <w:tc>
          <w:tcPr>
            <w:tcW w:w="1788" w:type="dxa"/>
            <w:vMerge w:val="continue"/>
            <w:tcBorders>
              <w:tl2br w:val="nil"/>
              <w:tr2bl w:val="nil"/>
            </w:tcBorders>
            <w:vAlign w:val="center"/>
          </w:tcPr>
          <w:p w14:paraId="68409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1032" w:type="dxa"/>
            <w:vMerge w:val="continue"/>
            <w:tcBorders>
              <w:tl2br w:val="nil"/>
              <w:tr2bl w:val="nil"/>
            </w:tcBorders>
            <w:vAlign w:val="center"/>
          </w:tcPr>
          <w:p w14:paraId="7537F1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906" w:type="dxa"/>
            <w:tcBorders>
              <w:tl2br w:val="nil"/>
              <w:tr2bl w:val="nil"/>
            </w:tcBorders>
            <w:vAlign w:val="center"/>
          </w:tcPr>
          <w:p w14:paraId="5B949D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202106</w:t>
            </w:r>
          </w:p>
        </w:tc>
        <w:tc>
          <w:tcPr>
            <w:tcW w:w="2816" w:type="dxa"/>
            <w:tcBorders>
              <w:tl2br w:val="nil"/>
              <w:tr2bl w:val="nil"/>
            </w:tcBorders>
            <w:vAlign w:val="center"/>
          </w:tcPr>
          <w:p w14:paraId="4CB05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第八届湖南省知识产权竞答赛三等奖</w:t>
            </w:r>
          </w:p>
        </w:tc>
        <w:tc>
          <w:tcPr>
            <w:tcW w:w="1482" w:type="dxa"/>
            <w:tcBorders>
              <w:tl2br w:val="nil"/>
              <w:tr2bl w:val="nil"/>
            </w:tcBorders>
            <w:vAlign w:val="center"/>
          </w:tcPr>
          <w:p w14:paraId="32C0A3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28AC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4" w:type="dxa"/>
            <w:vMerge w:val="restart"/>
            <w:tcBorders>
              <w:tl2br w:val="nil"/>
              <w:tr2bl w:val="nil"/>
            </w:tcBorders>
            <w:vAlign w:val="center"/>
          </w:tcPr>
          <w:p w14:paraId="00376A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b w:val="0"/>
                <w:bCs/>
                <w:color w:val="auto"/>
                <w:sz w:val="21"/>
                <w:szCs w:val="21"/>
              </w:rPr>
            </w:pPr>
            <w:r>
              <w:rPr>
                <w:rFonts w:hint="default" w:ascii="Times New Roman" w:hAnsi="Times New Roman" w:eastAsia="STFangsong" w:cs="Times New Roman"/>
                <w:b w:val="0"/>
                <w:bCs/>
                <w:color w:val="auto"/>
                <w:sz w:val="21"/>
                <w:szCs w:val="21"/>
              </w:rPr>
              <w:t>2</w:t>
            </w:r>
          </w:p>
        </w:tc>
        <w:tc>
          <w:tcPr>
            <w:tcW w:w="1788" w:type="dxa"/>
            <w:vMerge w:val="restart"/>
            <w:tcBorders>
              <w:tl2br w:val="nil"/>
              <w:tr2bl w:val="nil"/>
            </w:tcBorders>
            <w:vAlign w:val="center"/>
          </w:tcPr>
          <w:p w14:paraId="378968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贺文</w:t>
            </w:r>
            <w:r>
              <w:rPr>
                <w:rFonts w:hint="default" w:ascii="Times New Roman" w:hAnsi="Times New Roman" w:cs="Times New Roman" w:eastAsiaTheme="majorEastAsia"/>
                <w:bCs/>
                <w:color w:val="auto"/>
                <w:sz w:val="21"/>
                <w:szCs w:val="21"/>
              </w:rPr>
              <w:t>（201</w:t>
            </w:r>
            <w:r>
              <w:rPr>
                <w:rFonts w:hint="default" w:ascii="Times New Roman" w:hAnsi="Times New Roman" w:cs="Times New Roman" w:eastAsiaTheme="majorEastAsia"/>
                <w:bCs/>
                <w:color w:val="auto"/>
                <w:sz w:val="21"/>
                <w:szCs w:val="21"/>
                <w:lang w:val="en-US" w:eastAsia="zh-CN"/>
              </w:rPr>
              <w:t>9</w:t>
            </w:r>
            <w:r>
              <w:rPr>
                <w:rFonts w:hint="default" w:ascii="Times New Roman" w:hAnsi="Times New Roman" w:cs="Times New Roman" w:eastAsiaTheme="majorEastAsia"/>
                <w:bCs/>
                <w:color w:val="auto"/>
                <w:sz w:val="21"/>
                <w:szCs w:val="21"/>
              </w:rPr>
              <w:t>09，学术学位硕士，全日制）</w:t>
            </w:r>
          </w:p>
        </w:tc>
        <w:tc>
          <w:tcPr>
            <w:tcW w:w="1032" w:type="dxa"/>
            <w:vMerge w:val="restart"/>
            <w:tcBorders>
              <w:tl2br w:val="nil"/>
              <w:tr2bl w:val="nil"/>
            </w:tcBorders>
            <w:vAlign w:val="center"/>
          </w:tcPr>
          <w:p w14:paraId="057FB2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42BF3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0</w:t>
            </w:r>
            <w:r>
              <w:rPr>
                <w:rFonts w:hint="default" w:ascii="Times New Roman" w:hAnsi="Times New Roman" w:cs="Times New Roman" w:eastAsiaTheme="majorEastAsia"/>
                <w:bCs/>
                <w:color w:val="auto"/>
                <w:sz w:val="21"/>
                <w:szCs w:val="21"/>
                <w:lang w:val="en-US" w:eastAsia="zh-CN"/>
              </w:rPr>
              <w:t>7</w:t>
            </w:r>
          </w:p>
        </w:tc>
        <w:tc>
          <w:tcPr>
            <w:tcW w:w="2816" w:type="dxa"/>
            <w:tcBorders>
              <w:tl2br w:val="nil"/>
              <w:tr2bl w:val="nil"/>
            </w:tcBorders>
            <w:vAlign w:val="center"/>
          </w:tcPr>
          <w:p w14:paraId="477FD2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中南林科大研究生科技创新基金</w:t>
            </w:r>
          </w:p>
        </w:tc>
        <w:tc>
          <w:tcPr>
            <w:tcW w:w="1482" w:type="dxa"/>
            <w:tcBorders>
              <w:tl2br w:val="nil"/>
              <w:tr2bl w:val="nil"/>
            </w:tcBorders>
            <w:vAlign w:val="center"/>
          </w:tcPr>
          <w:p w14:paraId="5A4D4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项目主持人</w:t>
            </w:r>
          </w:p>
        </w:tc>
      </w:tr>
      <w:tr w14:paraId="0479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dxa"/>
            <w:vMerge w:val="continue"/>
            <w:tcBorders>
              <w:tl2br w:val="nil"/>
              <w:tr2bl w:val="nil"/>
            </w:tcBorders>
            <w:vAlign w:val="center"/>
          </w:tcPr>
          <w:p w14:paraId="5AB90314">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cs="Times New Roman"/>
                <w:color w:val="auto"/>
                <w:sz w:val="21"/>
                <w:szCs w:val="21"/>
              </w:rPr>
            </w:pPr>
          </w:p>
        </w:tc>
        <w:tc>
          <w:tcPr>
            <w:tcW w:w="1788" w:type="dxa"/>
            <w:vMerge w:val="continue"/>
            <w:tcBorders>
              <w:tl2br w:val="nil"/>
              <w:tr2bl w:val="nil"/>
            </w:tcBorders>
            <w:vAlign w:val="center"/>
          </w:tcPr>
          <w:p w14:paraId="4B5EBB87">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cs="Times New Roman"/>
                <w:color w:val="auto"/>
                <w:sz w:val="21"/>
                <w:szCs w:val="21"/>
              </w:rPr>
            </w:pPr>
          </w:p>
        </w:tc>
        <w:tc>
          <w:tcPr>
            <w:tcW w:w="1032" w:type="dxa"/>
            <w:vMerge w:val="continue"/>
            <w:tcBorders>
              <w:tl2br w:val="nil"/>
              <w:tr2bl w:val="nil"/>
            </w:tcBorders>
            <w:vAlign w:val="center"/>
          </w:tcPr>
          <w:p w14:paraId="0DA5CC2F">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cs="Times New Roman"/>
                <w:color w:val="auto"/>
                <w:sz w:val="21"/>
                <w:szCs w:val="21"/>
              </w:rPr>
            </w:pPr>
          </w:p>
        </w:tc>
        <w:tc>
          <w:tcPr>
            <w:tcW w:w="906" w:type="dxa"/>
            <w:tcBorders>
              <w:tl2br w:val="nil"/>
              <w:tr2bl w:val="nil"/>
            </w:tcBorders>
            <w:vAlign w:val="center"/>
          </w:tcPr>
          <w:p w14:paraId="5F65AA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202112</w:t>
            </w:r>
          </w:p>
        </w:tc>
        <w:tc>
          <w:tcPr>
            <w:tcW w:w="2816" w:type="dxa"/>
            <w:tcBorders>
              <w:tl2br w:val="nil"/>
              <w:tr2bl w:val="nil"/>
            </w:tcBorders>
            <w:vAlign w:val="center"/>
          </w:tcPr>
          <w:p w14:paraId="58912F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《试论组织代孕行为的刑法规制》发表于《</w:t>
            </w:r>
            <w:r>
              <w:rPr>
                <w:rFonts w:hint="default" w:ascii="Times New Roman" w:hAnsi="Times New Roman" w:cs="Times New Roman" w:eastAsiaTheme="majorEastAsia"/>
                <w:bCs/>
                <w:color w:val="auto"/>
                <w:sz w:val="21"/>
                <w:szCs w:val="21"/>
              </w:rPr>
              <w:t>锦州医科大学学报(社会科学版)</w:t>
            </w:r>
            <w:r>
              <w:rPr>
                <w:rFonts w:hint="default" w:ascii="Times New Roman" w:hAnsi="Times New Roman" w:cs="Times New Roman" w:eastAsiaTheme="majorEastAsia"/>
                <w:bCs/>
                <w:color w:val="auto"/>
                <w:sz w:val="21"/>
                <w:szCs w:val="21"/>
                <w:lang w:val="en-US" w:eastAsia="zh-CN"/>
              </w:rPr>
              <w:t>》2021年第6期</w:t>
            </w:r>
          </w:p>
        </w:tc>
        <w:tc>
          <w:tcPr>
            <w:tcW w:w="1482" w:type="dxa"/>
            <w:tcBorders>
              <w:tl2br w:val="nil"/>
              <w:tr2bl w:val="nil"/>
            </w:tcBorders>
            <w:vAlign w:val="center"/>
          </w:tcPr>
          <w:p w14:paraId="4FEDCB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第一作者</w:t>
            </w:r>
          </w:p>
        </w:tc>
      </w:tr>
      <w:tr w14:paraId="34AA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4" w:type="dxa"/>
            <w:tcBorders>
              <w:tl2br w:val="nil"/>
              <w:tr2bl w:val="nil"/>
            </w:tcBorders>
            <w:vAlign w:val="center"/>
          </w:tcPr>
          <w:p w14:paraId="323DA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b w:val="0"/>
                <w:bCs/>
                <w:color w:val="auto"/>
                <w:sz w:val="21"/>
                <w:szCs w:val="21"/>
              </w:rPr>
            </w:pPr>
            <w:r>
              <w:rPr>
                <w:rFonts w:hint="default" w:ascii="Times New Roman" w:hAnsi="Times New Roman" w:eastAsia="STFangsong" w:cs="Times New Roman"/>
                <w:b w:val="0"/>
                <w:bCs/>
                <w:color w:val="auto"/>
                <w:sz w:val="21"/>
                <w:szCs w:val="21"/>
              </w:rPr>
              <w:t>3</w:t>
            </w:r>
          </w:p>
        </w:tc>
        <w:tc>
          <w:tcPr>
            <w:tcW w:w="1788" w:type="dxa"/>
            <w:tcBorders>
              <w:tl2br w:val="nil"/>
              <w:tr2bl w:val="nil"/>
            </w:tcBorders>
            <w:vAlign w:val="center"/>
          </w:tcPr>
          <w:p w14:paraId="4E9E7E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陈诗</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19</w:t>
            </w:r>
            <w:r>
              <w:rPr>
                <w:rFonts w:hint="default" w:ascii="Times New Roman" w:hAnsi="Times New Roman" w:cs="Times New Roman" w:eastAsiaTheme="majorEastAsia"/>
                <w:bCs/>
                <w:color w:val="auto"/>
                <w:sz w:val="21"/>
                <w:szCs w:val="21"/>
              </w:rPr>
              <w:t>09，学术学位硕士，全日制）</w:t>
            </w:r>
          </w:p>
        </w:tc>
        <w:tc>
          <w:tcPr>
            <w:tcW w:w="1032" w:type="dxa"/>
            <w:tcBorders>
              <w:tl2br w:val="nil"/>
              <w:tr2bl w:val="nil"/>
            </w:tcBorders>
            <w:vAlign w:val="center"/>
          </w:tcPr>
          <w:p w14:paraId="16ECE0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优秀荣誉</w:t>
            </w:r>
          </w:p>
        </w:tc>
        <w:tc>
          <w:tcPr>
            <w:tcW w:w="906" w:type="dxa"/>
            <w:tcBorders>
              <w:tl2br w:val="nil"/>
              <w:tr2bl w:val="nil"/>
            </w:tcBorders>
            <w:vAlign w:val="center"/>
          </w:tcPr>
          <w:p w14:paraId="29866A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21</w:t>
            </w:r>
            <w:r>
              <w:rPr>
                <w:rFonts w:hint="default" w:ascii="Times New Roman" w:hAnsi="Times New Roman" w:cs="Times New Roman" w:eastAsiaTheme="majorEastAsia"/>
                <w:bCs/>
                <w:color w:val="auto"/>
                <w:sz w:val="21"/>
                <w:szCs w:val="21"/>
              </w:rPr>
              <w:t>10</w:t>
            </w:r>
          </w:p>
        </w:tc>
        <w:tc>
          <w:tcPr>
            <w:tcW w:w="2816" w:type="dxa"/>
            <w:tcBorders>
              <w:tl2br w:val="nil"/>
              <w:tr2bl w:val="nil"/>
            </w:tcBorders>
            <w:vAlign w:val="center"/>
          </w:tcPr>
          <w:p w14:paraId="5A846A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国家奖学金获得者</w:t>
            </w:r>
          </w:p>
        </w:tc>
        <w:tc>
          <w:tcPr>
            <w:tcW w:w="1482" w:type="dxa"/>
            <w:tcBorders>
              <w:tl2br w:val="nil"/>
              <w:tr2bl w:val="nil"/>
            </w:tcBorders>
            <w:vAlign w:val="center"/>
          </w:tcPr>
          <w:p w14:paraId="3716E9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获奖人</w:t>
            </w:r>
          </w:p>
        </w:tc>
      </w:tr>
      <w:tr w14:paraId="5DC7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4" w:type="dxa"/>
            <w:vMerge w:val="restart"/>
            <w:tcBorders>
              <w:tl2br w:val="nil"/>
              <w:tr2bl w:val="nil"/>
            </w:tcBorders>
            <w:vAlign w:val="center"/>
          </w:tcPr>
          <w:p w14:paraId="7FC563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b w:val="0"/>
                <w:bCs/>
                <w:color w:val="auto"/>
                <w:sz w:val="21"/>
                <w:szCs w:val="21"/>
              </w:rPr>
            </w:pPr>
            <w:r>
              <w:rPr>
                <w:rFonts w:hint="default" w:ascii="Times New Roman" w:hAnsi="Times New Roman" w:eastAsia="STFangsong" w:cs="Times New Roman"/>
                <w:b w:val="0"/>
                <w:bCs/>
                <w:color w:val="auto"/>
                <w:sz w:val="21"/>
                <w:szCs w:val="21"/>
              </w:rPr>
              <w:t>4</w:t>
            </w:r>
          </w:p>
        </w:tc>
        <w:tc>
          <w:tcPr>
            <w:tcW w:w="1788" w:type="dxa"/>
            <w:vMerge w:val="restart"/>
            <w:tcBorders>
              <w:tl2br w:val="nil"/>
              <w:tr2bl w:val="nil"/>
            </w:tcBorders>
            <w:vAlign w:val="center"/>
          </w:tcPr>
          <w:p w14:paraId="76769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谭雨欢</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20</w:t>
            </w:r>
            <w:r>
              <w:rPr>
                <w:rFonts w:hint="default" w:ascii="Times New Roman" w:hAnsi="Times New Roman" w:cs="Times New Roman" w:eastAsiaTheme="majorEastAsia"/>
                <w:bCs/>
                <w:color w:val="auto"/>
                <w:sz w:val="21"/>
                <w:szCs w:val="21"/>
              </w:rPr>
              <w:t>09，学术学位硕士，全日制）</w:t>
            </w:r>
          </w:p>
        </w:tc>
        <w:tc>
          <w:tcPr>
            <w:tcW w:w="1032" w:type="dxa"/>
            <w:vMerge w:val="restart"/>
            <w:tcBorders>
              <w:tl2br w:val="nil"/>
              <w:tr2bl w:val="nil"/>
            </w:tcBorders>
            <w:vAlign w:val="center"/>
          </w:tcPr>
          <w:p w14:paraId="4052F1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2C7529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06</w:t>
            </w:r>
          </w:p>
        </w:tc>
        <w:tc>
          <w:tcPr>
            <w:tcW w:w="2816" w:type="dxa"/>
            <w:tcBorders>
              <w:tl2br w:val="nil"/>
              <w:tr2bl w:val="nil"/>
            </w:tcBorders>
            <w:vAlign w:val="center"/>
          </w:tcPr>
          <w:p w14:paraId="7C8F1E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第八届湖南省知识产权竞答赛三等奖</w:t>
            </w:r>
          </w:p>
        </w:tc>
        <w:tc>
          <w:tcPr>
            <w:tcW w:w="1482" w:type="dxa"/>
            <w:tcBorders>
              <w:tl2br w:val="nil"/>
              <w:tr2bl w:val="nil"/>
            </w:tcBorders>
            <w:vAlign w:val="center"/>
          </w:tcPr>
          <w:p w14:paraId="1602F0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获奖人</w:t>
            </w:r>
          </w:p>
        </w:tc>
      </w:tr>
      <w:tr w14:paraId="0D65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4" w:type="dxa"/>
            <w:vMerge w:val="continue"/>
            <w:tcBorders>
              <w:tl2br w:val="nil"/>
              <w:tr2bl w:val="nil"/>
            </w:tcBorders>
            <w:vAlign w:val="center"/>
          </w:tcPr>
          <w:p w14:paraId="14CC8F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b/>
                <w:color w:val="auto"/>
                <w:sz w:val="21"/>
                <w:szCs w:val="21"/>
              </w:rPr>
            </w:pPr>
          </w:p>
        </w:tc>
        <w:tc>
          <w:tcPr>
            <w:tcW w:w="1788" w:type="dxa"/>
            <w:vMerge w:val="continue"/>
            <w:tcBorders>
              <w:tl2br w:val="nil"/>
              <w:tr2bl w:val="nil"/>
            </w:tcBorders>
            <w:vAlign w:val="center"/>
          </w:tcPr>
          <w:p w14:paraId="0D0837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1032" w:type="dxa"/>
            <w:vMerge w:val="continue"/>
            <w:tcBorders>
              <w:tl2br w:val="nil"/>
              <w:tr2bl w:val="nil"/>
            </w:tcBorders>
            <w:vAlign w:val="center"/>
          </w:tcPr>
          <w:p w14:paraId="1EF3A8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906" w:type="dxa"/>
            <w:tcBorders>
              <w:tl2br w:val="nil"/>
              <w:tr2bl w:val="nil"/>
            </w:tcBorders>
            <w:vAlign w:val="center"/>
          </w:tcPr>
          <w:p w14:paraId="0D73AE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106</w:t>
            </w:r>
          </w:p>
        </w:tc>
        <w:tc>
          <w:tcPr>
            <w:tcW w:w="2816" w:type="dxa"/>
            <w:tcBorders>
              <w:tl2br w:val="nil"/>
              <w:tr2bl w:val="nil"/>
            </w:tcBorders>
            <w:vAlign w:val="center"/>
          </w:tcPr>
          <w:p w14:paraId="7827F0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第八届湖南省知识产权竞答赛最佳选手奖</w:t>
            </w:r>
          </w:p>
        </w:tc>
        <w:tc>
          <w:tcPr>
            <w:tcW w:w="1482" w:type="dxa"/>
            <w:tcBorders>
              <w:tl2br w:val="nil"/>
              <w:tr2bl w:val="nil"/>
            </w:tcBorders>
            <w:vAlign w:val="center"/>
          </w:tcPr>
          <w:p w14:paraId="3A62D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获奖人</w:t>
            </w:r>
          </w:p>
        </w:tc>
      </w:tr>
      <w:tr w14:paraId="13F7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tcBorders>
              <w:tl2br w:val="nil"/>
              <w:tr2bl w:val="nil"/>
            </w:tcBorders>
            <w:vAlign w:val="center"/>
          </w:tcPr>
          <w:p w14:paraId="00E55D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rPr>
            </w:pPr>
            <w:r>
              <w:rPr>
                <w:rFonts w:hint="default" w:ascii="Times New Roman" w:hAnsi="Times New Roman" w:eastAsia="STFangsong" w:cs="Times New Roman"/>
                <w:color w:val="auto"/>
                <w:sz w:val="21"/>
                <w:szCs w:val="21"/>
              </w:rPr>
              <w:t>5</w:t>
            </w:r>
          </w:p>
        </w:tc>
        <w:tc>
          <w:tcPr>
            <w:tcW w:w="1788" w:type="dxa"/>
            <w:tcBorders>
              <w:tl2br w:val="nil"/>
              <w:tr2bl w:val="nil"/>
            </w:tcBorders>
            <w:vAlign w:val="center"/>
          </w:tcPr>
          <w:p w14:paraId="43F4DE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胡锦华</w:t>
            </w:r>
            <w:r>
              <w:rPr>
                <w:rFonts w:hint="default" w:ascii="Times New Roman" w:hAnsi="Times New Roman" w:cs="Times New Roman" w:eastAsiaTheme="majorEastAsia"/>
                <w:bCs/>
                <w:color w:val="auto"/>
                <w:sz w:val="21"/>
                <w:szCs w:val="21"/>
              </w:rPr>
              <w:t>（201809，学术学位硕士，全日制）</w:t>
            </w:r>
          </w:p>
        </w:tc>
        <w:tc>
          <w:tcPr>
            <w:tcW w:w="1032" w:type="dxa"/>
            <w:tcBorders>
              <w:tl2br w:val="nil"/>
              <w:tr2bl w:val="nil"/>
            </w:tcBorders>
            <w:vAlign w:val="center"/>
          </w:tcPr>
          <w:p w14:paraId="141896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6945B1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112</w:t>
            </w:r>
          </w:p>
        </w:tc>
        <w:tc>
          <w:tcPr>
            <w:tcW w:w="2816" w:type="dxa"/>
            <w:tcBorders>
              <w:tl2br w:val="nil"/>
              <w:tr2bl w:val="nil"/>
            </w:tcBorders>
            <w:vAlign w:val="center"/>
          </w:tcPr>
          <w:p w14:paraId="39BDF5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《个人信息权立法模式研究》</w:t>
            </w:r>
            <w:r>
              <w:rPr>
                <w:rFonts w:hint="default" w:ascii="Times New Roman" w:hAnsi="Times New Roman" w:cs="Times New Roman" w:eastAsiaTheme="majorEastAsia"/>
                <w:bCs/>
                <w:color w:val="auto"/>
                <w:sz w:val="21"/>
                <w:szCs w:val="21"/>
                <w:lang w:val="en-US" w:eastAsia="zh-CN"/>
              </w:rPr>
              <w:t>为该生湖南省研究生科技创新项目的阶段性成果，</w:t>
            </w:r>
            <w:r>
              <w:rPr>
                <w:rFonts w:hint="default" w:ascii="Times New Roman" w:hAnsi="Times New Roman" w:cs="Times New Roman" w:eastAsiaTheme="majorEastAsia"/>
                <w:bCs/>
                <w:color w:val="auto"/>
                <w:sz w:val="21"/>
                <w:szCs w:val="21"/>
              </w:rPr>
              <w:t>发表于《邵阳学院学报（社会科学版）》202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年第</w:t>
            </w:r>
            <w:r>
              <w:rPr>
                <w:rFonts w:hint="default" w:ascii="Times New Roman" w:hAnsi="Times New Roman" w:cs="Times New Roman" w:eastAsiaTheme="majorEastAsia"/>
                <w:bCs/>
                <w:color w:val="auto"/>
                <w:sz w:val="21"/>
                <w:szCs w:val="21"/>
                <w:lang w:val="en-US" w:eastAsia="zh-CN"/>
              </w:rPr>
              <w:t>6</w:t>
            </w:r>
            <w:r>
              <w:rPr>
                <w:rFonts w:hint="default" w:ascii="Times New Roman" w:hAnsi="Times New Roman" w:cs="Times New Roman" w:eastAsiaTheme="majorEastAsia"/>
                <w:bCs/>
                <w:color w:val="auto"/>
                <w:sz w:val="21"/>
                <w:szCs w:val="21"/>
              </w:rPr>
              <w:t>期</w:t>
            </w:r>
          </w:p>
        </w:tc>
        <w:tc>
          <w:tcPr>
            <w:tcW w:w="1482" w:type="dxa"/>
            <w:tcBorders>
              <w:tl2br w:val="nil"/>
              <w:tr2bl w:val="nil"/>
            </w:tcBorders>
            <w:vAlign w:val="center"/>
          </w:tcPr>
          <w:p w14:paraId="144354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第一作者</w:t>
            </w:r>
          </w:p>
        </w:tc>
      </w:tr>
      <w:tr w14:paraId="713D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1DD981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rPr>
            </w:pPr>
            <w:r>
              <w:rPr>
                <w:rFonts w:hint="default" w:ascii="Times New Roman" w:hAnsi="Times New Roman" w:eastAsia="STFangsong" w:cs="Times New Roman"/>
                <w:color w:val="auto"/>
                <w:sz w:val="21"/>
                <w:szCs w:val="21"/>
              </w:rPr>
              <w:t>6</w:t>
            </w:r>
          </w:p>
        </w:tc>
        <w:tc>
          <w:tcPr>
            <w:tcW w:w="1788" w:type="dxa"/>
            <w:tcBorders>
              <w:tl2br w:val="nil"/>
              <w:tr2bl w:val="nil"/>
            </w:tcBorders>
            <w:vAlign w:val="center"/>
          </w:tcPr>
          <w:p w14:paraId="470029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易才凤</w:t>
            </w:r>
            <w:r>
              <w:rPr>
                <w:rFonts w:hint="default" w:ascii="Times New Roman" w:hAnsi="Times New Roman" w:cs="Times New Roman" w:eastAsiaTheme="majorEastAsia"/>
                <w:bCs/>
                <w:color w:val="auto"/>
                <w:sz w:val="21"/>
                <w:szCs w:val="21"/>
              </w:rPr>
              <w:t>（201809，学术学位硕士，全日制）</w:t>
            </w:r>
          </w:p>
        </w:tc>
        <w:tc>
          <w:tcPr>
            <w:tcW w:w="1032" w:type="dxa"/>
            <w:tcBorders>
              <w:tl2br w:val="nil"/>
              <w:tr2bl w:val="nil"/>
            </w:tcBorders>
            <w:vAlign w:val="center"/>
          </w:tcPr>
          <w:p w14:paraId="30CE51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70324B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0</w:t>
            </w:r>
            <w:r>
              <w:rPr>
                <w:rFonts w:hint="default" w:ascii="Times New Roman" w:hAnsi="Times New Roman" w:cs="Times New Roman" w:eastAsiaTheme="majorEastAsia"/>
                <w:bCs/>
                <w:color w:val="auto"/>
                <w:sz w:val="21"/>
                <w:szCs w:val="21"/>
                <w:lang w:val="en-US" w:eastAsia="zh-CN"/>
              </w:rPr>
              <w:t>1</w:t>
            </w:r>
          </w:p>
        </w:tc>
        <w:tc>
          <w:tcPr>
            <w:tcW w:w="2816" w:type="dxa"/>
            <w:tcBorders>
              <w:tl2br w:val="nil"/>
              <w:tr2bl w:val="nil"/>
            </w:tcBorders>
            <w:vAlign w:val="center"/>
          </w:tcPr>
          <w:p w14:paraId="46C753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《民法典编纂背景下自甘风险规则的适用》发表于《黑龙江生态工程职业学院学报》202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年第</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期</w:t>
            </w:r>
          </w:p>
        </w:tc>
        <w:tc>
          <w:tcPr>
            <w:tcW w:w="1482" w:type="dxa"/>
            <w:tcBorders>
              <w:tl2br w:val="nil"/>
              <w:tr2bl w:val="nil"/>
            </w:tcBorders>
            <w:vAlign w:val="center"/>
          </w:tcPr>
          <w:p w14:paraId="37C4A3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第一作者</w:t>
            </w:r>
          </w:p>
        </w:tc>
      </w:tr>
      <w:tr w14:paraId="4520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34891E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rPr>
            </w:pPr>
            <w:r>
              <w:rPr>
                <w:rFonts w:hint="default" w:ascii="Times New Roman" w:hAnsi="Times New Roman" w:eastAsia="STFangsong" w:cs="Times New Roman"/>
                <w:color w:val="auto"/>
                <w:sz w:val="21"/>
                <w:szCs w:val="21"/>
              </w:rPr>
              <w:t>7</w:t>
            </w:r>
          </w:p>
        </w:tc>
        <w:tc>
          <w:tcPr>
            <w:tcW w:w="1788" w:type="dxa"/>
            <w:tcBorders>
              <w:tl2br w:val="nil"/>
              <w:tr2bl w:val="nil"/>
            </w:tcBorders>
            <w:vAlign w:val="center"/>
          </w:tcPr>
          <w:p w14:paraId="3272BE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李朝阳</w:t>
            </w:r>
            <w:r>
              <w:rPr>
                <w:rFonts w:hint="default" w:ascii="Times New Roman" w:hAnsi="Times New Roman" w:cs="Times New Roman" w:eastAsiaTheme="majorEastAsia"/>
                <w:bCs/>
                <w:color w:val="auto"/>
                <w:sz w:val="21"/>
                <w:szCs w:val="21"/>
              </w:rPr>
              <w:t>（201809，学术学位硕士，全日制）</w:t>
            </w:r>
          </w:p>
        </w:tc>
        <w:tc>
          <w:tcPr>
            <w:tcW w:w="1032" w:type="dxa"/>
            <w:tcBorders>
              <w:tl2br w:val="nil"/>
              <w:tr2bl w:val="nil"/>
            </w:tcBorders>
            <w:vAlign w:val="center"/>
          </w:tcPr>
          <w:p w14:paraId="6C54D2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1C4034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102</w:t>
            </w:r>
          </w:p>
        </w:tc>
        <w:tc>
          <w:tcPr>
            <w:tcW w:w="2816" w:type="dxa"/>
            <w:tcBorders>
              <w:tl2br w:val="nil"/>
              <w:tr2bl w:val="nil"/>
            </w:tcBorders>
            <w:vAlign w:val="center"/>
          </w:tcPr>
          <w:p w14:paraId="62532E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《我国自然保护地土地权属管理中存在的问题及对策》发表于《国土与自然资源研究》</w:t>
            </w:r>
            <w:r>
              <w:rPr>
                <w:rFonts w:hint="default" w:ascii="Times New Roman" w:hAnsi="Times New Roman" w:cs="Times New Roman" w:eastAsiaTheme="majorEastAsia"/>
                <w:bCs/>
                <w:color w:val="auto"/>
                <w:sz w:val="21"/>
                <w:szCs w:val="21"/>
                <w:lang w:val="en-US" w:eastAsia="zh-CN"/>
              </w:rPr>
              <w:t>2021年第1期</w:t>
            </w:r>
          </w:p>
        </w:tc>
        <w:tc>
          <w:tcPr>
            <w:tcW w:w="1482" w:type="dxa"/>
            <w:tcBorders>
              <w:tl2br w:val="nil"/>
              <w:tr2bl w:val="nil"/>
            </w:tcBorders>
            <w:vAlign w:val="center"/>
          </w:tcPr>
          <w:p w14:paraId="662397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第一作者</w:t>
            </w:r>
          </w:p>
        </w:tc>
      </w:tr>
      <w:tr w14:paraId="491E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6E3584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rPr>
            </w:pPr>
            <w:r>
              <w:rPr>
                <w:rFonts w:hint="default" w:ascii="Times New Roman" w:hAnsi="Times New Roman" w:eastAsia="STFangsong" w:cs="Times New Roman"/>
                <w:color w:val="auto"/>
                <w:sz w:val="21"/>
                <w:szCs w:val="21"/>
              </w:rPr>
              <w:t>8</w:t>
            </w:r>
          </w:p>
        </w:tc>
        <w:tc>
          <w:tcPr>
            <w:tcW w:w="1788" w:type="dxa"/>
            <w:tcBorders>
              <w:tl2br w:val="nil"/>
              <w:tr2bl w:val="nil"/>
            </w:tcBorders>
            <w:vAlign w:val="center"/>
          </w:tcPr>
          <w:p w14:paraId="1C0715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刘思婷</w:t>
            </w:r>
            <w:r>
              <w:rPr>
                <w:rFonts w:hint="default" w:ascii="Times New Roman" w:hAnsi="Times New Roman" w:cs="Times New Roman" w:eastAsiaTheme="majorEastAsia"/>
                <w:bCs/>
                <w:color w:val="auto"/>
                <w:sz w:val="21"/>
                <w:szCs w:val="21"/>
              </w:rPr>
              <w:t>（201</w:t>
            </w:r>
            <w:r>
              <w:rPr>
                <w:rFonts w:hint="default" w:ascii="Times New Roman" w:hAnsi="Times New Roman" w:cs="Times New Roman" w:eastAsiaTheme="majorEastAsia"/>
                <w:bCs/>
                <w:color w:val="auto"/>
                <w:sz w:val="21"/>
                <w:szCs w:val="21"/>
                <w:lang w:val="en-US" w:eastAsia="zh-CN"/>
              </w:rPr>
              <w:t>9</w:t>
            </w:r>
            <w:r>
              <w:rPr>
                <w:rFonts w:hint="default" w:ascii="Times New Roman" w:hAnsi="Times New Roman" w:cs="Times New Roman" w:eastAsiaTheme="majorEastAsia"/>
                <w:bCs/>
                <w:color w:val="auto"/>
                <w:sz w:val="21"/>
                <w:szCs w:val="21"/>
              </w:rPr>
              <w:t>09，学术学位硕士，全日制）</w:t>
            </w:r>
          </w:p>
        </w:tc>
        <w:tc>
          <w:tcPr>
            <w:tcW w:w="1032" w:type="dxa"/>
            <w:tcBorders>
              <w:tl2br w:val="nil"/>
              <w:tr2bl w:val="nil"/>
            </w:tcBorders>
            <w:vAlign w:val="center"/>
          </w:tcPr>
          <w:p w14:paraId="6543ADA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0E5FCE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107</w:t>
            </w:r>
          </w:p>
        </w:tc>
        <w:tc>
          <w:tcPr>
            <w:tcW w:w="2816" w:type="dxa"/>
            <w:tcBorders>
              <w:tl2br w:val="nil"/>
              <w:tr2bl w:val="nil"/>
            </w:tcBorders>
            <w:vAlign w:val="center"/>
          </w:tcPr>
          <w:p w14:paraId="17B0A3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w:t>
            </w:r>
            <w:r>
              <w:rPr>
                <w:rFonts w:hint="default" w:ascii="Times New Roman" w:hAnsi="Times New Roman" w:cs="Times New Roman" w:eastAsiaTheme="majorEastAsia"/>
                <w:bCs/>
                <w:color w:val="auto"/>
                <w:sz w:val="21"/>
                <w:szCs w:val="21"/>
              </w:rPr>
              <w:fldChar w:fldCharType="begin"/>
            </w:r>
            <w:r>
              <w:rPr>
                <w:rFonts w:hint="default" w:ascii="Times New Roman" w:hAnsi="Times New Roman" w:cs="Times New Roman" w:eastAsiaTheme="majorEastAsia"/>
                <w:bCs/>
                <w:color w:val="auto"/>
                <w:sz w:val="21"/>
                <w:szCs w:val="21"/>
              </w:rPr>
              <w:instrText xml:space="preserve"> HYPERLINK "https://kns.cnki.net/kns8/Detail?sfield=fn&amp;QueryID=19&amp;CurRec=1&amp;recid=&amp;FileName=GZGG202104007&amp;DbName=CJFDLAST2021&amp;DbCode=CJFD&amp;yx=&amp;pr=&amp;URLID=" \t "https://kns.cnki.net/kns8/_blank" </w:instrText>
            </w:r>
            <w:r>
              <w:rPr>
                <w:rFonts w:hint="default" w:ascii="Times New Roman" w:hAnsi="Times New Roman" w:cs="Times New Roman" w:eastAsiaTheme="majorEastAsia"/>
                <w:bCs/>
                <w:color w:val="auto"/>
                <w:sz w:val="21"/>
                <w:szCs w:val="21"/>
              </w:rPr>
              <w:fldChar w:fldCharType="separate"/>
            </w:r>
            <w:r>
              <w:rPr>
                <w:rFonts w:hint="default" w:ascii="Times New Roman" w:hAnsi="Times New Roman" w:cs="Times New Roman" w:eastAsiaTheme="majorEastAsia"/>
                <w:bCs/>
                <w:color w:val="auto"/>
                <w:sz w:val="21"/>
                <w:szCs w:val="21"/>
              </w:rPr>
              <w:t>非破产情形下股东出资义务加速到期研究</w:t>
            </w:r>
            <w:r>
              <w:rPr>
                <w:rFonts w:hint="default" w:ascii="Times New Roman" w:hAnsi="Times New Roman" w:cs="Times New Roman" w:eastAsiaTheme="majorEastAsia"/>
                <w:bCs/>
                <w:color w:val="auto"/>
                <w:sz w:val="21"/>
                <w:szCs w:val="21"/>
              </w:rPr>
              <w:fldChar w:fldCharType="end"/>
            </w:r>
            <w:r>
              <w:rPr>
                <w:rFonts w:hint="default" w:ascii="Times New Roman" w:hAnsi="Times New Roman" w:cs="Times New Roman" w:eastAsiaTheme="majorEastAsia"/>
                <w:bCs/>
                <w:color w:val="auto"/>
                <w:sz w:val="21"/>
                <w:szCs w:val="21"/>
              </w:rPr>
              <w:t>》发表于《</w:t>
            </w:r>
            <w:r>
              <w:rPr>
                <w:rFonts w:hint="default" w:ascii="Times New Roman" w:hAnsi="Times New Roman" w:cs="Times New Roman" w:eastAsiaTheme="majorEastAsia"/>
                <w:bCs/>
                <w:color w:val="auto"/>
                <w:sz w:val="21"/>
                <w:szCs w:val="21"/>
                <w:lang w:val="en-US" w:eastAsia="zh-CN"/>
              </w:rPr>
              <w:t>广西政法管理干部</w:t>
            </w:r>
            <w:r>
              <w:rPr>
                <w:rFonts w:hint="default" w:ascii="Times New Roman" w:hAnsi="Times New Roman" w:cs="Times New Roman" w:eastAsiaTheme="majorEastAsia"/>
                <w:bCs/>
                <w:color w:val="auto"/>
                <w:sz w:val="21"/>
                <w:szCs w:val="21"/>
              </w:rPr>
              <w:t>学院学报》</w:t>
            </w:r>
            <w:r>
              <w:rPr>
                <w:rFonts w:hint="default" w:ascii="Times New Roman" w:hAnsi="Times New Roman" w:cs="Times New Roman" w:eastAsiaTheme="majorEastAsia"/>
                <w:bCs/>
                <w:color w:val="auto"/>
                <w:sz w:val="21"/>
                <w:szCs w:val="21"/>
                <w:lang w:val="en-US" w:eastAsia="zh-CN"/>
              </w:rPr>
              <w:t>2021年第4期</w:t>
            </w:r>
          </w:p>
        </w:tc>
        <w:tc>
          <w:tcPr>
            <w:tcW w:w="1482" w:type="dxa"/>
            <w:tcBorders>
              <w:tl2br w:val="nil"/>
              <w:tr2bl w:val="nil"/>
            </w:tcBorders>
            <w:vAlign w:val="center"/>
          </w:tcPr>
          <w:p w14:paraId="1477C5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第一作者</w:t>
            </w:r>
          </w:p>
        </w:tc>
      </w:tr>
      <w:tr w14:paraId="1B30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2F2E63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lang w:val="en-US" w:eastAsia="zh-CN"/>
              </w:rPr>
            </w:pPr>
            <w:r>
              <w:rPr>
                <w:rFonts w:hint="default" w:ascii="Times New Roman" w:hAnsi="Times New Roman" w:eastAsia="STFangsong" w:cs="Times New Roman"/>
                <w:color w:val="auto"/>
                <w:sz w:val="21"/>
                <w:szCs w:val="21"/>
                <w:lang w:val="en-US" w:eastAsia="zh-CN"/>
              </w:rPr>
              <w:t>9</w:t>
            </w:r>
          </w:p>
        </w:tc>
        <w:tc>
          <w:tcPr>
            <w:tcW w:w="1788" w:type="dxa"/>
            <w:tcBorders>
              <w:tl2br w:val="nil"/>
              <w:tr2bl w:val="nil"/>
            </w:tcBorders>
            <w:vAlign w:val="center"/>
          </w:tcPr>
          <w:p w14:paraId="1A8EF0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张漾北</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20</w:t>
            </w:r>
            <w:r>
              <w:rPr>
                <w:rFonts w:hint="default" w:ascii="Times New Roman" w:hAnsi="Times New Roman" w:cs="Times New Roman" w:eastAsiaTheme="majorEastAsia"/>
                <w:bCs/>
                <w:color w:val="auto"/>
                <w:sz w:val="21"/>
                <w:szCs w:val="21"/>
              </w:rPr>
              <w:t>09，学术学位硕士，全日制）</w:t>
            </w:r>
          </w:p>
        </w:tc>
        <w:tc>
          <w:tcPr>
            <w:tcW w:w="1032" w:type="dxa"/>
            <w:tcBorders>
              <w:tl2br w:val="nil"/>
              <w:tr2bl w:val="nil"/>
            </w:tcBorders>
            <w:vAlign w:val="center"/>
          </w:tcPr>
          <w:p w14:paraId="2C72EC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012164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11</w:t>
            </w:r>
          </w:p>
        </w:tc>
        <w:tc>
          <w:tcPr>
            <w:tcW w:w="2816" w:type="dxa"/>
            <w:tcBorders>
              <w:tl2br w:val="nil"/>
              <w:tr2bl w:val="nil"/>
            </w:tcBorders>
            <w:vAlign w:val="center"/>
          </w:tcPr>
          <w:p w14:paraId="6DB4AA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论文《催收非法债务行为的刑法规制》在湖南省法学会案例法学研究会中获</w:t>
            </w:r>
            <w:r>
              <w:rPr>
                <w:rFonts w:hint="default" w:ascii="Times New Roman" w:hAnsi="Times New Roman" w:cs="Times New Roman" w:eastAsiaTheme="majorEastAsia"/>
                <w:bCs/>
                <w:color w:val="auto"/>
                <w:sz w:val="21"/>
                <w:szCs w:val="21"/>
                <w:lang w:val="en-US" w:eastAsia="zh-CN"/>
              </w:rPr>
              <w:t>三</w:t>
            </w:r>
            <w:r>
              <w:rPr>
                <w:rFonts w:hint="default" w:ascii="Times New Roman" w:hAnsi="Times New Roman" w:cs="Times New Roman" w:eastAsiaTheme="majorEastAsia"/>
                <w:bCs/>
                <w:color w:val="auto"/>
                <w:sz w:val="21"/>
                <w:szCs w:val="21"/>
              </w:rPr>
              <w:t>等奖</w:t>
            </w:r>
          </w:p>
        </w:tc>
        <w:tc>
          <w:tcPr>
            <w:tcW w:w="1482" w:type="dxa"/>
            <w:tcBorders>
              <w:tl2br w:val="nil"/>
              <w:tr2bl w:val="nil"/>
            </w:tcBorders>
            <w:vAlign w:val="center"/>
          </w:tcPr>
          <w:p w14:paraId="3B1240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获奖人</w:t>
            </w:r>
          </w:p>
        </w:tc>
      </w:tr>
      <w:tr w14:paraId="561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14" w:type="dxa"/>
            <w:tcBorders>
              <w:tl2br w:val="nil"/>
              <w:tr2bl w:val="nil"/>
            </w:tcBorders>
            <w:vAlign w:val="center"/>
          </w:tcPr>
          <w:p w14:paraId="066D6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rPr>
            </w:pPr>
            <w:r>
              <w:rPr>
                <w:rFonts w:hint="default" w:ascii="Times New Roman" w:hAnsi="Times New Roman" w:eastAsia="STFangsong" w:cs="Times New Roman"/>
                <w:color w:val="auto"/>
                <w:sz w:val="21"/>
                <w:szCs w:val="21"/>
              </w:rPr>
              <w:t>10</w:t>
            </w:r>
          </w:p>
        </w:tc>
        <w:tc>
          <w:tcPr>
            <w:tcW w:w="1788" w:type="dxa"/>
            <w:tcBorders>
              <w:tl2br w:val="nil"/>
              <w:tr2bl w:val="nil"/>
            </w:tcBorders>
            <w:vAlign w:val="center"/>
          </w:tcPr>
          <w:p w14:paraId="78C80E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李清华</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20</w:t>
            </w:r>
            <w:r>
              <w:rPr>
                <w:rFonts w:hint="default" w:ascii="Times New Roman" w:hAnsi="Times New Roman" w:cs="Times New Roman" w:eastAsiaTheme="majorEastAsia"/>
                <w:bCs/>
                <w:color w:val="auto"/>
                <w:sz w:val="21"/>
                <w:szCs w:val="21"/>
              </w:rPr>
              <w:t>09，学术学位硕士，全日制）</w:t>
            </w:r>
          </w:p>
        </w:tc>
        <w:tc>
          <w:tcPr>
            <w:tcW w:w="1032" w:type="dxa"/>
            <w:tcBorders>
              <w:tl2br w:val="nil"/>
              <w:tr2bl w:val="nil"/>
            </w:tcBorders>
            <w:vAlign w:val="center"/>
          </w:tcPr>
          <w:p w14:paraId="145BC8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学术成果获奖</w:t>
            </w:r>
          </w:p>
        </w:tc>
        <w:tc>
          <w:tcPr>
            <w:tcW w:w="906" w:type="dxa"/>
            <w:tcBorders>
              <w:tl2br w:val="nil"/>
              <w:tr2bl w:val="nil"/>
            </w:tcBorders>
            <w:vAlign w:val="center"/>
          </w:tcPr>
          <w:p w14:paraId="763165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111</w:t>
            </w:r>
          </w:p>
        </w:tc>
        <w:tc>
          <w:tcPr>
            <w:tcW w:w="2816" w:type="dxa"/>
            <w:tcBorders>
              <w:tl2br w:val="nil"/>
              <w:tr2bl w:val="nil"/>
            </w:tcBorders>
            <w:vAlign w:val="center"/>
          </w:tcPr>
          <w:p w14:paraId="35C51C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论文《乡村振兴视野下农村留守儿童的权利保护与实践》在广东省法学会法律风险管理研究会中获</w:t>
            </w:r>
            <w:r>
              <w:rPr>
                <w:rFonts w:hint="default" w:ascii="Times New Roman" w:hAnsi="Times New Roman" w:cs="Times New Roman" w:eastAsiaTheme="majorEastAsia"/>
                <w:bCs/>
                <w:color w:val="auto"/>
                <w:sz w:val="21"/>
                <w:szCs w:val="21"/>
                <w:lang w:val="en-US" w:eastAsia="zh-CN"/>
              </w:rPr>
              <w:t>三</w:t>
            </w:r>
            <w:r>
              <w:rPr>
                <w:rFonts w:hint="default" w:ascii="Times New Roman" w:hAnsi="Times New Roman" w:cs="Times New Roman" w:eastAsiaTheme="majorEastAsia"/>
                <w:bCs/>
                <w:color w:val="auto"/>
                <w:sz w:val="21"/>
                <w:szCs w:val="21"/>
              </w:rPr>
              <w:t>等奖</w:t>
            </w:r>
          </w:p>
        </w:tc>
        <w:tc>
          <w:tcPr>
            <w:tcW w:w="1482" w:type="dxa"/>
            <w:tcBorders>
              <w:tl2br w:val="nil"/>
              <w:tr2bl w:val="nil"/>
            </w:tcBorders>
            <w:vAlign w:val="center"/>
          </w:tcPr>
          <w:p w14:paraId="6F8CE0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获奖人</w:t>
            </w:r>
          </w:p>
        </w:tc>
      </w:tr>
      <w:tr w14:paraId="1FA7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425055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rPr>
            </w:pPr>
            <w:r>
              <w:rPr>
                <w:rFonts w:hint="default" w:ascii="Times New Roman" w:hAnsi="Times New Roman" w:eastAsia="STFangsong" w:cs="Times New Roman"/>
                <w:color w:val="auto"/>
                <w:sz w:val="21"/>
                <w:szCs w:val="21"/>
              </w:rPr>
              <w:t>11</w:t>
            </w:r>
          </w:p>
        </w:tc>
        <w:tc>
          <w:tcPr>
            <w:tcW w:w="1788" w:type="dxa"/>
            <w:tcBorders>
              <w:tl2br w:val="nil"/>
              <w:tr2bl w:val="nil"/>
            </w:tcBorders>
            <w:vAlign w:val="center"/>
          </w:tcPr>
          <w:p w14:paraId="525472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王笑语</w:t>
            </w:r>
            <w:r>
              <w:rPr>
                <w:rFonts w:hint="default" w:ascii="Times New Roman" w:hAnsi="Times New Roman" w:cs="Times New Roman" w:eastAsiaTheme="majorEastAsia"/>
                <w:bCs/>
                <w:color w:val="auto"/>
                <w:sz w:val="21"/>
                <w:szCs w:val="21"/>
              </w:rPr>
              <w:t>（202009，学术学位硕士，全日制）</w:t>
            </w:r>
          </w:p>
        </w:tc>
        <w:tc>
          <w:tcPr>
            <w:tcW w:w="1032" w:type="dxa"/>
            <w:tcBorders>
              <w:tl2br w:val="nil"/>
              <w:tr2bl w:val="nil"/>
            </w:tcBorders>
            <w:vAlign w:val="center"/>
          </w:tcPr>
          <w:p w14:paraId="264FC4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学术成果与获奖</w:t>
            </w:r>
          </w:p>
        </w:tc>
        <w:tc>
          <w:tcPr>
            <w:tcW w:w="906" w:type="dxa"/>
            <w:tcBorders>
              <w:tl2br w:val="nil"/>
              <w:tr2bl w:val="nil"/>
            </w:tcBorders>
            <w:vAlign w:val="center"/>
          </w:tcPr>
          <w:p w14:paraId="2EC41E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12</w:t>
            </w:r>
          </w:p>
        </w:tc>
        <w:tc>
          <w:tcPr>
            <w:tcW w:w="2816" w:type="dxa"/>
            <w:tcBorders>
              <w:tl2br w:val="nil"/>
              <w:tr2bl w:val="nil"/>
            </w:tcBorders>
            <w:vAlign w:val="center"/>
          </w:tcPr>
          <w:p w14:paraId="479038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《我国网络侵犯著作权犯罪治理的反思和展望》发表于《</w:t>
            </w:r>
            <w:r>
              <w:rPr>
                <w:rFonts w:hint="default" w:ascii="Times New Roman" w:hAnsi="Times New Roman" w:cs="Times New Roman" w:eastAsiaTheme="majorEastAsia"/>
                <w:bCs/>
                <w:color w:val="auto"/>
                <w:sz w:val="21"/>
                <w:szCs w:val="21"/>
                <w:lang w:val="en-US" w:eastAsia="zh-CN"/>
              </w:rPr>
              <w:t>武汉交通职业学院学报</w:t>
            </w:r>
            <w:r>
              <w:rPr>
                <w:rFonts w:hint="default" w:ascii="Times New Roman" w:hAnsi="Times New Roman" w:cs="Times New Roman" w:eastAsiaTheme="majorEastAsia"/>
                <w:bCs/>
                <w:color w:val="auto"/>
                <w:sz w:val="21"/>
                <w:szCs w:val="21"/>
              </w:rPr>
              <w:t>》</w:t>
            </w:r>
            <w:r>
              <w:rPr>
                <w:rFonts w:hint="default" w:ascii="Times New Roman" w:hAnsi="Times New Roman" w:cs="Times New Roman" w:eastAsiaTheme="majorEastAsia"/>
                <w:bCs/>
                <w:color w:val="auto"/>
                <w:sz w:val="21"/>
                <w:szCs w:val="21"/>
                <w:lang w:val="en-US" w:eastAsia="zh-CN"/>
              </w:rPr>
              <w:t>2021年第4期</w:t>
            </w:r>
          </w:p>
        </w:tc>
        <w:tc>
          <w:tcPr>
            <w:tcW w:w="1482" w:type="dxa"/>
            <w:tcBorders>
              <w:tl2br w:val="nil"/>
              <w:tr2bl w:val="nil"/>
            </w:tcBorders>
            <w:vAlign w:val="center"/>
          </w:tcPr>
          <w:p w14:paraId="38BD4B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第一作者</w:t>
            </w:r>
          </w:p>
        </w:tc>
      </w:tr>
      <w:tr w14:paraId="67F3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18E97F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lang w:val="en-US" w:eastAsia="zh-CN"/>
              </w:rPr>
            </w:pPr>
            <w:r>
              <w:rPr>
                <w:rFonts w:hint="default" w:ascii="Times New Roman" w:hAnsi="Times New Roman" w:eastAsia="STFangsong" w:cs="Times New Roman"/>
                <w:color w:val="auto"/>
                <w:sz w:val="21"/>
                <w:szCs w:val="21"/>
                <w:lang w:val="en-US" w:eastAsia="zh-CN"/>
              </w:rPr>
              <w:t>12</w:t>
            </w:r>
          </w:p>
        </w:tc>
        <w:tc>
          <w:tcPr>
            <w:tcW w:w="1788" w:type="dxa"/>
            <w:tcBorders>
              <w:tl2br w:val="nil"/>
              <w:tr2bl w:val="nil"/>
            </w:tcBorders>
            <w:vAlign w:val="center"/>
          </w:tcPr>
          <w:p w14:paraId="3D68BC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丁颖赶超</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21</w:t>
            </w:r>
            <w:r>
              <w:rPr>
                <w:rFonts w:hint="default" w:ascii="Times New Roman" w:hAnsi="Times New Roman" w:cs="Times New Roman" w:eastAsiaTheme="majorEastAsia"/>
                <w:bCs/>
                <w:color w:val="auto"/>
                <w:sz w:val="21"/>
                <w:szCs w:val="21"/>
              </w:rPr>
              <w:t>09，学术学位硕士，全日制）</w:t>
            </w:r>
          </w:p>
        </w:tc>
        <w:tc>
          <w:tcPr>
            <w:tcW w:w="1032" w:type="dxa"/>
            <w:tcBorders>
              <w:tl2br w:val="nil"/>
              <w:tr2bl w:val="nil"/>
            </w:tcBorders>
            <w:vAlign w:val="center"/>
          </w:tcPr>
          <w:p w14:paraId="13E00D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学术成果与获奖</w:t>
            </w:r>
          </w:p>
        </w:tc>
        <w:tc>
          <w:tcPr>
            <w:tcW w:w="906" w:type="dxa"/>
            <w:tcBorders>
              <w:tl2br w:val="nil"/>
              <w:tr2bl w:val="nil"/>
            </w:tcBorders>
            <w:vAlign w:val="center"/>
          </w:tcPr>
          <w:p w14:paraId="63B1DC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202112</w:t>
            </w:r>
          </w:p>
        </w:tc>
        <w:tc>
          <w:tcPr>
            <w:tcW w:w="2816" w:type="dxa"/>
            <w:tcBorders>
              <w:tl2br w:val="nil"/>
              <w:tr2bl w:val="nil"/>
            </w:tcBorders>
            <w:vAlign w:val="center"/>
          </w:tcPr>
          <w:p w14:paraId="1645B4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论文《试论海绵城市建设中的政府与生态环境责任》在湖南省研究生创新论坛“工程法治与学科交叉”分论坛中获</w:t>
            </w:r>
            <w:r>
              <w:rPr>
                <w:rFonts w:hint="default" w:ascii="Times New Roman" w:hAnsi="Times New Roman" w:cs="Times New Roman" w:eastAsiaTheme="majorEastAsia"/>
                <w:bCs/>
                <w:color w:val="auto"/>
                <w:sz w:val="21"/>
                <w:szCs w:val="21"/>
                <w:lang w:val="en-US" w:eastAsia="zh-CN"/>
              </w:rPr>
              <w:t>二</w:t>
            </w:r>
            <w:r>
              <w:rPr>
                <w:rFonts w:hint="default" w:ascii="Times New Roman" w:hAnsi="Times New Roman" w:cs="Times New Roman" w:eastAsiaTheme="majorEastAsia"/>
                <w:bCs/>
                <w:color w:val="auto"/>
                <w:sz w:val="21"/>
                <w:szCs w:val="21"/>
              </w:rPr>
              <w:t>等奖</w:t>
            </w:r>
          </w:p>
        </w:tc>
        <w:tc>
          <w:tcPr>
            <w:tcW w:w="1482" w:type="dxa"/>
            <w:tcBorders>
              <w:tl2br w:val="nil"/>
              <w:tr2bl w:val="nil"/>
            </w:tcBorders>
            <w:vAlign w:val="center"/>
          </w:tcPr>
          <w:p w14:paraId="471672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r w14:paraId="2F57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4" w:type="dxa"/>
            <w:tcBorders>
              <w:tl2br w:val="nil"/>
              <w:tr2bl w:val="nil"/>
            </w:tcBorders>
            <w:vAlign w:val="center"/>
          </w:tcPr>
          <w:p w14:paraId="1904C8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textAlignment w:val="baseline"/>
              <w:rPr>
                <w:rFonts w:hint="default" w:ascii="Times New Roman" w:hAnsi="Times New Roman" w:eastAsia="STFangsong" w:cs="Times New Roman"/>
                <w:color w:val="auto"/>
                <w:sz w:val="21"/>
                <w:szCs w:val="21"/>
                <w:lang w:val="en-US" w:eastAsia="zh-CN"/>
              </w:rPr>
            </w:pPr>
            <w:r>
              <w:rPr>
                <w:rFonts w:hint="default" w:ascii="Times New Roman" w:hAnsi="Times New Roman" w:eastAsia="STFangsong" w:cs="Times New Roman"/>
                <w:color w:val="auto"/>
                <w:sz w:val="21"/>
                <w:szCs w:val="21"/>
                <w:lang w:val="en-US" w:eastAsia="zh-CN"/>
              </w:rPr>
              <w:t>13</w:t>
            </w:r>
          </w:p>
        </w:tc>
        <w:tc>
          <w:tcPr>
            <w:tcW w:w="1788" w:type="dxa"/>
            <w:tcBorders>
              <w:tl2br w:val="nil"/>
              <w:tr2bl w:val="nil"/>
            </w:tcBorders>
            <w:vAlign w:val="center"/>
          </w:tcPr>
          <w:p w14:paraId="3AAC2C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李博傲</w:t>
            </w:r>
            <w:r>
              <w:rPr>
                <w:rFonts w:hint="default" w:ascii="Times New Roman" w:hAnsi="Times New Roman" w:cs="Times New Roman" w:eastAsiaTheme="majorEastAsia"/>
                <w:bCs/>
                <w:color w:val="auto"/>
                <w:sz w:val="21"/>
                <w:szCs w:val="21"/>
              </w:rPr>
              <w:t>（20</w:t>
            </w:r>
            <w:r>
              <w:rPr>
                <w:rFonts w:hint="default" w:ascii="Times New Roman" w:hAnsi="Times New Roman" w:cs="Times New Roman" w:eastAsiaTheme="majorEastAsia"/>
                <w:bCs/>
                <w:color w:val="auto"/>
                <w:sz w:val="21"/>
                <w:szCs w:val="21"/>
                <w:lang w:val="en-US" w:eastAsia="zh-CN"/>
              </w:rPr>
              <w:t>21</w:t>
            </w:r>
            <w:r>
              <w:rPr>
                <w:rFonts w:hint="default" w:ascii="Times New Roman" w:hAnsi="Times New Roman" w:cs="Times New Roman" w:eastAsiaTheme="majorEastAsia"/>
                <w:bCs/>
                <w:color w:val="auto"/>
                <w:sz w:val="21"/>
                <w:szCs w:val="21"/>
              </w:rPr>
              <w:t>09，学术学位硕士，全日制）</w:t>
            </w:r>
          </w:p>
        </w:tc>
        <w:tc>
          <w:tcPr>
            <w:tcW w:w="1032" w:type="dxa"/>
            <w:tcBorders>
              <w:tl2br w:val="nil"/>
              <w:tr2bl w:val="nil"/>
            </w:tcBorders>
            <w:vAlign w:val="center"/>
          </w:tcPr>
          <w:p w14:paraId="08E5FE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学术成果与获奖</w:t>
            </w:r>
          </w:p>
        </w:tc>
        <w:tc>
          <w:tcPr>
            <w:tcW w:w="906" w:type="dxa"/>
            <w:tcBorders>
              <w:tl2br w:val="nil"/>
              <w:tr2bl w:val="nil"/>
            </w:tcBorders>
            <w:vAlign w:val="center"/>
          </w:tcPr>
          <w:p w14:paraId="3A2871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202112</w:t>
            </w:r>
          </w:p>
        </w:tc>
        <w:tc>
          <w:tcPr>
            <w:tcW w:w="2816" w:type="dxa"/>
            <w:tcBorders>
              <w:tl2br w:val="nil"/>
              <w:tr2bl w:val="nil"/>
            </w:tcBorders>
            <w:vAlign w:val="center"/>
          </w:tcPr>
          <w:p w14:paraId="2FE718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论文《工程建设噪声污染防治中存在的问题与对策》在湖南省研究生创新论坛“工程法治与学科交叉”分论坛中获</w:t>
            </w:r>
            <w:r>
              <w:rPr>
                <w:rFonts w:hint="default" w:ascii="Times New Roman" w:hAnsi="Times New Roman" w:cs="Times New Roman" w:eastAsiaTheme="majorEastAsia"/>
                <w:bCs/>
                <w:color w:val="auto"/>
                <w:sz w:val="21"/>
                <w:szCs w:val="21"/>
                <w:lang w:val="en-US" w:eastAsia="zh-CN"/>
              </w:rPr>
              <w:t>优胜奖</w:t>
            </w:r>
          </w:p>
        </w:tc>
        <w:tc>
          <w:tcPr>
            <w:tcW w:w="1482" w:type="dxa"/>
            <w:tcBorders>
              <w:tl2br w:val="nil"/>
              <w:tr2bl w:val="nil"/>
            </w:tcBorders>
            <w:vAlign w:val="center"/>
          </w:tcPr>
          <w:p w14:paraId="01DCCD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获奖人</w:t>
            </w:r>
          </w:p>
        </w:tc>
      </w:tr>
    </w:tbl>
    <w:p w14:paraId="4C4CA3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p>
    <w:p w14:paraId="7AAA47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表4  学生参加国内学术会议情况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9"/>
        <w:gridCol w:w="786"/>
        <w:gridCol w:w="861"/>
        <w:gridCol w:w="1900"/>
        <w:gridCol w:w="672"/>
        <w:gridCol w:w="804"/>
        <w:gridCol w:w="1080"/>
        <w:gridCol w:w="1766"/>
      </w:tblGrid>
      <w:tr w14:paraId="7048A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669" w:type="dxa"/>
            <w:vAlign w:val="center"/>
          </w:tcPr>
          <w:p w14:paraId="7664A78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786" w:type="dxa"/>
            <w:vAlign w:val="center"/>
          </w:tcPr>
          <w:p w14:paraId="658F979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w:t>
            </w:r>
          </w:p>
          <w:p w14:paraId="713E9CC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tc>
        <w:tc>
          <w:tcPr>
            <w:tcW w:w="861" w:type="dxa"/>
            <w:vAlign w:val="center"/>
          </w:tcPr>
          <w:p w14:paraId="0A9B47D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层次（博士/硕士）</w:t>
            </w:r>
          </w:p>
        </w:tc>
        <w:tc>
          <w:tcPr>
            <w:tcW w:w="1900" w:type="dxa"/>
            <w:vAlign w:val="center"/>
          </w:tcPr>
          <w:p w14:paraId="0257ABA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672" w:type="dxa"/>
            <w:vAlign w:val="center"/>
          </w:tcPr>
          <w:p w14:paraId="080555A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会议级别</w:t>
            </w:r>
          </w:p>
        </w:tc>
        <w:tc>
          <w:tcPr>
            <w:tcW w:w="804" w:type="dxa"/>
            <w:vAlign w:val="center"/>
          </w:tcPr>
          <w:p w14:paraId="4B6C396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1080" w:type="dxa"/>
            <w:vAlign w:val="center"/>
          </w:tcPr>
          <w:p w14:paraId="4C3EAFD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766" w:type="dxa"/>
            <w:vAlign w:val="center"/>
          </w:tcPr>
          <w:p w14:paraId="4181686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报告名称及形式</w:t>
            </w:r>
          </w:p>
        </w:tc>
      </w:tr>
      <w:tr w14:paraId="4025B3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9" w:type="dxa"/>
            <w:vAlign w:val="center"/>
          </w:tcPr>
          <w:p w14:paraId="767776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786" w:type="dxa"/>
            <w:vAlign w:val="center"/>
          </w:tcPr>
          <w:p w14:paraId="2A38F2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张漾北</w:t>
            </w:r>
          </w:p>
        </w:tc>
        <w:tc>
          <w:tcPr>
            <w:tcW w:w="861" w:type="dxa"/>
            <w:vAlign w:val="center"/>
          </w:tcPr>
          <w:p w14:paraId="4FBADC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硕士</w:t>
            </w:r>
          </w:p>
        </w:tc>
        <w:tc>
          <w:tcPr>
            <w:tcW w:w="1900" w:type="dxa"/>
            <w:vAlign w:val="center"/>
          </w:tcPr>
          <w:p w14:paraId="29CD04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湖南省法学会案例法学研究会</w:t>
            </w:r>
          </w:p>
        </w:tc>
        <w:tc>
          <w:tcPr>
            <w:tcW w:w="672" w:type="dxa"/>
            <w:vAlign w:val="center"/>
          </w:tcPr>
          <w:p w14:paraId="1FBF76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省级</w:t>
            </w:r>
          </w:p>
        </w:tc>
        <w:tc>
          <w:tcPr>
            <w:tcW w:w="804" w:type="dxa"/>
            <w:vAlign w:val="center"/>
          </w:tcPr>
          <w:p w14:paraId="7D491B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湖南长沙</w:t>
            </w:r>
          </w:p>
        </w:tc>
        <w:tc>
          <w:tcPr>
            <w:tcW w:w="1080" w:type="dxa"/>
            <w:vAlign w:val="center"/>
          </w:tcPr>
          <w:p w14:paraId="2AB38C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1</w:t>
            </w:r>
            <w:r>
              <w:rPr>
                <w:rFonts w:hint="default" w:ascii="Times New Roman" w:hAnsi="Times New Roman" w:cs="Times New Roman" w:eastAsiaTheme="majorEastAsia"/>
                <w:bCs/>
                <w:color w:val="auto"/>
                <w:sz w:val="21"/>
                <w:szCs w:val="21"/>
                <w:lang w:val="en-US" w:eastAsia="zh-CN"/>
              </w:rPr>
              <w:t>127</w:t>
            </w:r>
          </w:p>
        </w:tc>
        <w:tc>
          <w:tcPr>
            <w:tcW w:w="1766" w:type="dxa"/>
            <w:vAlign w:val="center"/>
          </w:tcPr>
          <w:p w14:paraId="0937C2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《催收非法债务行为的刑法规制》</w:t>
            </w:r>
            <w:r>
              <w:rPr>
                <w:rFonts w:hint="default" w:ascii="Times New Roman" w:hAnsi="Times New Roman" w:cs="Times New Roman" w:eastAsiaTheme="majorEastAsia"/>
                <w:bCs/>
                <w:color w:val="auto"/>
                <w:sz w:val="21"/>
                <w:szCs w:val="21"/>
                <w:lang w:val="en-US" w:eastAsia="zh-CN"/>
              </w:rPr>
              <w:t>三等奖</w:t>
            </w:r>
          </w:p>
        </w:tc>
      </w:tr>
      <w:tr w14:paraId="60F44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9" w:type="dxa"/>
            <w:vAlign w:val="center"/>
          </w:tcPr>
          <w:p w14:paraId="39533A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w:t>
            </w:r>
          </w:p>
        </w:tc>
        <w:tc>
          <w:tcPr>
            <w:tcW w:w="786" w:type="dxa"/>
            <w:vAlign w:val="center"/>
          </w:tcPr>
          <w:p w14:paraId="59BA5C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李清华</w:t>
            </w:r>
          </w:p>
        </w:tc>
        <w:tc>
          <w:tcPr>
            <w:tcW w:w="861" w:type="dxa"/>
            <w:vAlign w:val="center"/>
          </w:tcPr>
          <w:p w14:paraId="0F16DB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硕士</w:t>
            </w:r>
          </w:p>
        </w:tc>
        <w:tc>
          <w:tcPr>
            <w:tcW w:w="1900" w:type="dxa"/>
            <w:vAlign w:val="center"/>
          </w:tcPr>
          <w:p w14:paraId="35F312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广东省法学会法律风险管理研究会</w:t>
            </w:r>
          </w:p>
        </w:tc>
        <w:tc>
          <w:tcPr>
            <w:tcW w:w="672" w:type="dxa"/>
            <w:vAlign w:val="center"/>
          </w:tcPr>
          <w:p w14:paraId="1AE5D2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省级</w:t>
            </w:r>
          </w:p>
        </w:tc>
        <w:tc>
          <w:tcPr>
            <w:tcW w:w="804" w:type="dxa"/>
            <w:vAlign w:val="center"/>
          </w:tcPr>
          <w:p w14:paraId="025C7E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广东广州</w:t>
            </w:r>
          </w:p>
        </w:tc>
        <w:tc>
          <w:tcPr>
            <w:tcW w:w="1080" w:type="dxa"/>
            <w:vAlign w:val="center"/>
          </w:tcPr>
          <w:p w14:paraId="00CFF2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1</w:t>
            </w:r>
            <w:r>
              <w:rPr>
                <w:rFonts w:hint="default" w:ascii="Times New Roman" w:hAnsi="Times New Roman" w:cs="Times New Roman" w:eastAsiaTheme="majorEastAsia"/>
                <w:bCs/>
                <w:color w:val="auto"/>
                <w:sz w:val="21"/>
                <w:szCs w:val="21"/>
                <w:lang w:val="en-US" w:eastAsia="zh-CN"/>
              </w:rPr>
              <w:t>120</w:t>
            </w:r>
          </w:p>
        </w:tc>
        <w:tc>
          <w:tcPr>
            <w:tcW w:w="1766" w:type="dxa"/>
            <w:vAlign w:val="center"/>
          </w:tcPr>
          <w:p w14:paraId="344EC9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《乡村振兴视野下农村留守儿童的权利保护与实践》</w:t>
            </w:r>
            <w:r>
              <w:rPr>
                <w:rFonts w:hint="default" w:ascii="Times New Roman" w:hAnsi="Times New Roman" w:cs="Times New Roman" w:eastAsiaTheme="majorEastAsia"/>
                <w:bCs/>
                <w:color w:val="auto"/>
                <w:sz w:val="21"/>
                <w:szCs w:val="21"/>
                <w:lang w:val="en-US" w:eastAsia="zh-CN"/>
              </w:rPr>
              <w:t>三等奖</w:t>
            </w:r>
          </w:p>
        </w:tc>
      </w:tr>
      <w:tr w14:paraId="4BBC1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9" w:type="dxa"/>
            <w:vAlign w:val="center"/>
          </w:tcPr>
          <w:p w14:paraId="61217C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3</w:t>
            </w:r>
          </w:p>
        </w:tc>
        <w:tc>
          <w:tcPr>
            <w:tcW w:w="786" w:type="dxa"/>
            <w:vAlign w:val="center"/>
          </w:tcPr>
          <w:p w14:paraId="56275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丁颖赶超</w:t>
            </w:r>
          </w:p>
        </w:tc>
        <w:tc>
          <w:tcPr>
            <w:tcW w:w="861" w:type="dxa"/>
            <w:vAlign w:val="center"/>
          </w:tcPr>
          <w:p w14:paraId="7A1F15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硕士</w:t>
            </w:r>
          </w:p>
        </w:tc>
        <w:tc>
          <w:tcPr>
            <w:tcW w:w="1900" w:type="dxa"/>
            <w:vAlign w:val="center"/>
          </w:tcPr>
          <w:p w14:paraId="60305E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湖南省法学会环境资源法学研究会</w:t>
            </w:r>
          </w:p>
        </w:tc>
        <w:tc>
          <w:tcPr>
            <w:tcW w:w="672" w:type="dxa"/>
            <w:vAlign w:val="center"/>
          </w:tcPr>
          <w:p w14:paraId="45F941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省级</w:t>
            </w:r>
          </w:p>
        </w:tc>
        <w:tc>
          <w:tcPr>
            <w:tcW w:w="804" w:type="dxa"/>
            <w:vAlign w:val="center"/>
          </w:tcPr>
          <w:p w14:paraId="608AA9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湖南岳阳</w:t>
            </w:r>
          </w:p>
        </w:tc>
        <w:tc>
          <w:tcPr>
            <w:tcW w:w="1080" w:type="dxa"/>
            <w:vAlign w:val="center"/>
          </w:tcPr>
          <w:p w14:paraId="31A209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12</w:t>
            </w:r>
            <w:r>
              <w:rPr>
                <w:rFonts w:hint="default" w:ascii="Times New Roman" w:hAnsi="Times New Roman" w:cs="Times New Roman" w:eastAsiaTheme="majorEastAsia"/>
                <w:bCs/>
                <w:color w:val="auto"/>
                <w:sz w:val="21"/>
                <w:szCs w:val="21"/>
                <w:lang w:val="en-US" w:eastAsia="zh-CN"/>
              </w:rPr>
              <w:t>28</w:t>
            </w:r>
          </w:p>
        </w:tc>
        <w:tc>
          <w:tcPr>
            <w:tcW w:w="1766" w:type="dxa"/>
            <w:vAlign w:val="center"/>
          </w:tcPr>
          <w:p w14:paraId="038A02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《流域生态环境协同治理法律探析》</w:t>
            </w:r>
            <w:r>
              <w:rPr>
                <w:rFonts w:hint="default" w:ascii="Times New Roman" w:hAnsi="Times New Roman" w:cs="Times New Roman" w:eastAsiaTheme="majorEastAsia"/>
                <w:bCs/>
                <w:color w:val="auto"/>
                <w:sz w:val="21"/>
                <w:szCs w:val="21"/>
                <w:lang w:val="en-US" w:eastAsia="zh-CN"/>
              </w:rPr>
              <w:t>二等奖</w:t>
            </w:r>
          </w:p>
        </w:tc>
      </w:tr>
      <w:tr w14:paraId="1A32A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9" w:type="dxa"/>
            <w:vAlign w:val="center"/>
          </w:tcPr>
          <w:p w14:paraId="57EE87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4</w:t>
            </w:r>
          </w:p>
        </w:tc>
        <w:tc>
          <w:tcPr>
            <w:tcW w:w="786" w:type="dxa"/>
            <w:vAlign w:val="center"/>
          </w:tcPr>
          <w:p w14:paraId="754CA7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李博傲</w:t>
            </w:r>
          </w:p>
        </w:tc>
        <w:tc>
          <w:tcPr>
            <w:tcW w:w="861" w:type="dxa"/>
            <w:vAlign w:val="center"/>
          </w:tcPr>
          <w:p w14:paraId="1D7499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硕士</w:t>
            </w:r>
          </w:p>
        </w:tc>
        <w:tc>
          <w:tcPr>
            <w:tcW w:w="1900" w:type="dxa"/>
            <w:vAlign w:val="center"/>
          </w:tcPr>
          <w:p w14:paraId="006964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湖南省法学会环境资源法学研究会</w:t>
            </w:r>
          </w:p>
        </w:tc>
        <w:tc>
          <w:tcPr>
            <w:tcW w:w="672" w:type="dxa"/>
            <w:vAlign w:val="center"/>
          </w:tcPr>
          <w:p w14:paraId="6EDCB69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省级</w:t>
            </w:r>
          </w:p>
        </w:tc>
        <w:tc>
          <w:tcPr>
            <w:tcW w:w="804" w:type="dxa"/>
            <w:vAlign w:val="center"/>
          </w:tcPr>
          <w:p w14:paraId="3F49509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湖南岳阳</w:t>
            </w:r>
          </w:p>
        </w:tc>
        <w:tc>
          <w:tcPr>
            <w:tcW w:w="1080" w:type="dxa"/>
            <w:vAlign w:val="center"/>
          </w:tcPr>
          <w:p w14:paraId="140878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12</w:t>
            </w:r>
            <w:r>
              <w:rPr>
                <w:rFonts w:hint="default" w:ascii="Times New Roman" w:hAnsi="Times New Roman" w:cs="Times New Roman" w:eastAsiaTheme="majorEastAsia"/>
                <w:bCs/>
                <w:color w:val="auto"/>
                <w:sz w:val="21"/>
                <w:szCs w:val="21"/>
                <w:lang w:val="en-US" w:eastAsia="zh-CN"/>
              </w:rPr>
              <w:t>28</w:t>
            </w:r>
          </w:p>
        </w:tc>
        <w:tc>
          <w:tcPr>
            <w:tcW w:w="1766" w:type="dxa"/>
            <w:vAlign w:val="center"/>
          </w:tcPr>
          <w:p w14:paraId="290033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《生态环境损害赔偿磋商制度十大典型案例实证研究》</w:t>
            </w:r>
            <w:r>
              <w:rPr>
                <w:rFonts w:hint="default" w:ascii="Times New Roman" w:hAnsi="Times New Roman" w:cs="Times New Roman" w:eastAsiaTheme="majorEastAsia"/>
                <w:bCs/>
                <w:color w:val="auto"/>
                <w:sz w:val="21"/>
                <w:szCs w:val="21"/>
                <w:lang w:val="en-US" w:eastAsia="zh-CN"/>
              </w:rPr>
              <w:t>优胜奖</w:t>
            </w:r>
          </w:p>
        </w:tc>
      </w:tr>
      <w:tr w14:paraId="395E8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9" w:type="dxa"/>
            <w:vAlign w:val="center"/>
          </w:tcPr>
          <w:p w14:paraId="6A61B3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786" w:type="dxa"/>
            <w:vAlign w:val="center"/>
          </w:tcPr>
          <w:p w14:paraId="4D6A25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范宇超</w:t>
            </w:r>
          </w:p>
        </w:tc>
        <w:tc>
          <w:tcPr>
            <w:tcW w:w="861" w:type="dxa"/>
            <w:vAlign w:val="center"/>
          </w:tcPr>
          <w:p w14:paraId="189216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900" w:type="dxa"/>
            <w:vAlign w:val="center"/>
          </w:tcPr>
          <w:p w14:paraId="5852A6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湖南省</w:t>
            </w:r>
            <w:r>
              <w:rPr>
                <w:rFonts w:hint="default" w:ascii="Times New Roman" w:hAnsi="Times New Roman" w:cs="Times New Roman" w:eastAsiaTheme="majorEastAsia"/>
                <w:bCs/>
                <w:color w:val="auto"/>
                <w:sz w:val="21"/>
                <w:szCs w:val="21"/>
                <w:lang w:val="en-US" w:eastAsia="zh-CN"/>
              </w:rPr>
              <w:t>法学会</w:t>
            </w:r>
            <w:r>
              <w:rPr>
                <w:rFonts w:hint="default" w:ascii="Times New Roman" w:hAnsi="Times New Roman" w:cs="Times New Roman" w:eastAsiaTheme="majorEastAsia"/>
                <w:bCs/>
                <w:color w:val="auto"/>
                <w:sz w:val="21"/>
                <w:szCs w:val="21"/>
              </w:rPr>
              <w:t>案例法学会</w:t>
            </w:r>
            <w:r>
              <w:rPr>
                <w:rFonts w:hint="default" w:ascii="Times New Roman" w:hAnsi="Times New Roman" w:cs="Times New Roman" w:eastAsiaTheme="majorEastAsia"/>
                <w:bCs/>
                <w:color w:val="auto"/>
                <w:sz w:val="21"/>
                <w:szCs w:val="21"/>
                <w:lang w:val="en-US" w:eastAsia="zh-CN"/>
              </w:rPr>
              <w:t>研究会</w:t>
            </w:r>
          </w:p>
        </w:tc>
        <w:tc>
          <w:tcPr>
            <w:tcW w:w="672" w:type="dxa"/>
            <w:vAlign w:val="center"/>
          </w:tcPr>
          <w:p w14:paraId="5A7518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804" w:type="dxa"/>
            <w:vAlign w:val="center"/>
          </w:tcPr>
          <w:p w14:paraId="28CD2E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080" w:type="dxa"/>
            <w:vAlign w:val="center"/>
          </w:tcPr>
          <w:p w14:paraId="441FE3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20211127</w:t>
            </w:r>
          </w:p>
        </w:tc>
        <w:tc>
          <w:tcPr>
            <w:tcW w:w="1766" w:type="dxa"/>
            <w:vAlign w:val="center"/>
          </w:tcPr>
          <w:p w14:paraId="645ECD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eastAsia="zh-CN"/>
              </w:rPr>
              <w:t>《冻结股权条件下股东除名决议的效力探究》</w:t>
            </w:r>
            <w:r>
              <w:rPr>
                <w:rFonts w:hint="default" w:ascii="Times New Roman" w:hAnsi="Times New Roman" w:cs="Times New Roman" w:eastAsiaTheme="majorEastAsia"/>
                <w:bCs/>
                <w:color w:val="auto"/>
                <w:sz w:val="21"/>
                <w:szCs w:val="21"/>
                <w:lang w:val="en-US" w:eastAsia="zh-CN"/>
              </w:rPr>
              <w:t>论文</w:t>
            </w:r>
          </w:p>
        </w:tc>
      </w:tr>
    </w:tbl>
    <w:p w14:paraId="0D7F38DE">
      <w:pPr>
        <w:keepNext w:val="0"/>
        <w:keepLines w:val="0"/>
        <w:pageBreakBefore w:val="0"/>
        <w:kinsoku/>
        <w:wordWrap/>
        <w:overflowPunct/>
        <w:topLinePunct w:val="0"/>
        <w:autoSpaceDE w:val="0"/>
        <w:autoSpaceDN w:val="0"/>
        <w:bidi w:val="0"/>
        <w:adjustRightInd w:val="0"/>
        <w:spacing w:line="360" w:lineRule="exact"/>
        <w:ind w:left="0" w:leftChars="0" w:right="0" w:rightChars="0" w:firstLine="0"/>
        <w:jc w:val="left"/>
        <w:rPr>
          <w:rFonts w:hint="default" w:ascii="Times New Roman" w:hAnsi="Times New Roman" w:eastAsia="STFangsong" w:cs="Times New Roman"/>
          <w:b/>
          <w:bCs/>
          <w:color w:val="auto"/>
          <w:sz w:val="21"/>
          <w:szCs w:val="21"/>
        </w:rPr>
      </w:pPr>
    </w:p>
    <w:p w14:paraId="54F1E7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表5  学生就业情况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5"/>
        <w:gridCol w:w="839"/>
        <w:gridCol w:w="840"/>
        <w:gridCol w:w="840"/>
        <w:gridCol w:w="1082"/>
        <w:gridCol w:w="700"/>
        <w:gridCol w:w="701"/>
        <w:gridCol w:w="882"/>
        <w:gridCol w:w="840"/>
        <w:gridCol w:w="969"/>
      </w:tblGrid>
      <w:tr w14:paraId="4EBDB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 w:type="dxa"/>
            <w:vMerge w:val="restart"/>
            <w:vAlign w:val="center"/>
          </w:tcPr>
          <w:p w14:paraId="0680048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年度</w:t>
            </w:r>
          </w:p>
        </w:tc>
        <w:tc>
          <w:tcPr>
            <w:tcW w:w="852" w:type="dxa"/>
            <w:vMerge w:val="restart"/>
            <w:vAlign w:val="center"/>
          </w:tcPr>
          <w:p w14:paraId="028CA0E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w:t>
            </w:r>
          </w:p>
          <w:p w14:paraId="589206B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类型</w:t>
            </w:r>
          </w:p>
        </w:tc>
        <w:tc>
          <w:tcPr>
            <w:tcW w:w="852" w:type="dxa"/>
            <w:vMerge w:val="restart"/>
            <w:vAlign w:val="center"/>
          </w:tcPr>
          <w:p w14:paraId="6667515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毕业生总数</w:t>
            </w:r>
          </w:p>
        </w:tc>
        <w:tc>
          <w:tcPr>
            <w:tcW w:w="852" w:type="dxa"/>
            <w:vMerge w:val="restart"/>
            <w:vAlign w:val="center"/>
          </w:tcPr>
          <w:p w14:paraId="6B51E06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授予学位数</w:t>
            </w:r>
          </w:p>
        </w:tc>
        <w:tc>
          <w:tcPr>
            <w:tcW w:w="4261" w:type="dxa"/>
            <w:gridSpan w:val="5"/>
            <w:vAlign w:val="center"/>
          </w:tcPr>
          <w:p w14:paraId="66AA036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就业情况</w:t>
            </w:r>
          </w:p>
        </w:tc>
        <w:tc>
          <w:tcPr>
            <w:tcW w:w="853" w:type="dxa"/>
            <w:vMerge w:val="restart"/>
          </w:tcPr>
          <w:p w14:paraId="5D289B0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就业人数及就业率</w:t>
            </w:r>
          </w:p>
        </w:tc>
      </w:tr>
      <w:tr w14:paraId="6174F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852" w:type="dxa"/>
            <w:vMerge w:val="continue"/>
            <w:vAlign w:val="center"/>
          </w:tcPr>
          <w:p w14:paraId="5A67A4B2">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852" w:type="dxa"/>
            <w:vMerge w:val="continue"/>
            <w:vAlign w:val="center"/>
          </w:tcPr>
          <w:p w14:paraId="728386F1">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852" w:type="dxa"/>
            <w:vMerge w:val="continue"/>
            <w:vAlign w:val="center"/>
          </w:tcPr>
          <w:p w14:paraId="69611008">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852" w:type="dxa"/>
            <w:vMerge w:val="continue"/>
            <w:vAlign w:val="center"/>
          </w:tcPr>
          <w:p w14:paraId="59C6337F">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1095" w:type="dxa"/>
            <w:vMerge w:val="restart"/>
            <w:vAlign w:val="center"/>
          </w:tcPr>
          <w:p w14:paraId="75FEE9E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协议和合同就业（含博士后）</w:t>
            </w:r>
          </w:p>
        </w:tc>
        <w:tc>
          <w:tcPr>
            <w:tcW w:w="708" w:type="dxa"/>
            <w:vMerge w:val="restart"/>
            <w:vAlign w:val="center"/>
          </w:tcPr>
          <w:p w14:paraId="2621A40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自主创业</w:t>
            </w:r>
          </w:p>
        </w:tc>
        <w:tc>
          <w:tcPr>
            <w:tcW w:w="709" w:type="dxa"/>
            <w:vMerge w:val="restart"/>
            <w:vAlign w:val="center"/>
          </w:tcPr>
          <w:p w14:paraId="4946A65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灵活就业</w:t>
            </w:r>
          </w:p>
        </w:tc>
        <w:tc>
          <w:tcPr>
            <w:tcW w:w="1749" w:type="dxa"/>
            <w:gridSpan w:val="2"/>
            <w:vAlign w:val="center"/>
          </w:tcPr>
          <w:p w14:paraId="78A46BB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升学</w:t>
            </w:r>
          </w:p>
        </w:tc>
        <w:tc>
          <w:tcPr>
            <w:tcW w:w="853" w:type="dxa"/>
            <w:vMerge w:val="continue"/>
          </w:tcPr>
          <w:p w14:paraId="3F960B9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exact"/>
              <w:ind w:left="0" w:leftChars="0" w:right="0" w:rightChars="0" w:firstLine="0"/>
              <w:jc w:val="left"/>
              <w:rPr>
                <w:rFonts w:hint="default" w:ascii="Times New Roman" w:hAnsi="Times New Roman" w:eastAsia="STFangsong" w:cs="Times New Roman"/>
                <w:b/>
                <w:bCs/>
                <w:color w:val="auto"/>
                <w:kern w:val="0"/>
                <w:sz w:val="21"/>
                <w:szCs w:val="21"/>
              </w:rPr>
            </w:pPr>
          </w:p>
        </w:tc>
      </w:tr>
      <w:tr w14:paraId="72DEF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852" w:type="dxa"/>
            <w:vMerge w:val="continue"/>
            <w:vAlign w:val="center"/>
          </w:tcPr>
          <w:p w14:paraId="02AB90BF">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852" w:type="dxa"/>
            <w:vMerge w:val="continue"/>
            <w:vAlign w:val="center"/>
          </w:tcPr>
          <w:p w14:paraId="527C37FD">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852" w:type="dxa"/>
            <w:vMerge w:val="continue"/>
            <w:vAlign w:val="center"/>
          </w:tcPr>
          <w:p w14:paraId="0DC2837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852" w:type="dxa"/>
            <w:vMerge w:val="continue"/>
            <w:vAlign w:val="center"/>
          </w:tcPr>
          <w:p w14:paraId="6AEF98F3">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bCs/>
                <w:color w:val="auto"/>
                <w:sz w:val="21"/>
                <w:szCs w:val="21"/>
              </w:rPr>
            </w:pPr>
          </w:p>
        </w:tc>
        <w:tc>
          <w:tcPr>
            <w:tcW w:w="1095" w:type="dxa"/>
            <w:vMerge w:val="continue"/>
            <w:vAlign w:val="center"/>
          </w:tcPr>
          <w:p w14:paraId="1835F8A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708" w:type="dxa"/>
            <w:vMerge w:val="continue"/>
            <w:vAlign w:val="center"/>
          </w:tcPr>
          <w:p w14:paraId="3CE70F7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709" w:type="dxa"/>
            <w:vMerge w:val="continue"/>
            <w:vAlign w:val="center"/>
          </w:tcPr>
          <w:p w14:paraId="7178824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p>
        </w:tc>
        <w:tc>
          <w:tcPr>
            <w:tcW w:w="896" w:type="dxa"/>
            <w:vAlign w:val="center"/>
          </w:tcPr>
          <w:p w14:paraId="4A56EA7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境内</w:t>
            </w:r>
          </w:p>
        </w:tc>
        <w:tc>
          <w:tcPr>
            <w:tcW w:w="853" w:type="dxa"/>
            <w:vAlign w:val="center"/>
          </w:tcPr>
          <w:p w14:paraId="6A47B15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境外</w:t>
            </w:r>
          </w:p>
        </w:tc>
        <w:tc>
          <w:tcPr>
            <w:tcW w:w="853" w:type="dxa"/>
            <w:vMerge w:val="continue"/>
          </w:tcPr>
          <w:p w14:paraId="1DB8250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exact"/>
              <w:ind w:left="0" w:leftChars="0" w:right="0" w:rightChars="0" w:firstLine="0"/>
              <w:jc w:val="left"/>
              <w:rPr>
                <w:rFonts w:hint="default" w:ascii="Times New Roman" w:hAnsi="Times New Roman" w:eastAsia="STFangsong" w:cs="Times New Roman"/>
                <w:b/>
                <w:bCs/>
                <w:color w:val="auto"/>
                <w:kern w:val="0"/>
                <w:sz w:val="21"/>
                <w:szCs w:val="21"/>
              </w:rPr>
            </w:pPr>
          </w:p>
        </w:tc>
      </w:tr>
      <w:tr w14:paraId="18719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jc w:val="center"/>
        </w:trPr>
        <w:tc>
          <w:tcPr>
            <w:tcW w:w="852" w:type="dxa"/>
            <w:vMerge w:val="restart"/>
            <w:vAlign w:val="center"/>
          </w:tcPr>
          <w:p w14:paraId="30CAA03F">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lang w:eastAsia="zh-CN"/>
              </w:rPr>
            </w:pPr>
            <w:r>
              <w:rPr>
                <w:rFonts w:hint="default" w:ascii="Times New Roman" w:hAnsi="Times New Roman" w:eastAsia="STFangsong" w:cs="Times New Roman"/>
                <w:b w:val="0"/>
                <w:bCs w:val="0"/>
                <w:color w:val="auto"/>
                <w:sz w:val="21"/>
                <w:szCs w:val="21"/>
              </w:rPr>
              <w:t>202</w:t>
            </w:r>
            <w:r>
              <w:rPr>
                <w:rFonts w:hint="default" w:ascii="Times New Roman" w:hAnsi="Times New Roman" w:eastAsia="STFangsong" w:cs="Times New Roman"/>
                <w:b w:val="0"/>
                <w:bCs w:val="0"/>
                <w:color w:val="auto"/>
                <w:sz w:val="21"/>
                <w:szCs w:val="21"/>
                <w:lang w:val="en-US" w:eastAsia="zh-CN"/>
              </w:rPr>
              <w:t>1</w:t>
            </w:r>
          </w:p>
        </w:tc>
        <w:tc>
          <w:tcPr>
            <w:tcW w:w="852" w:type="dxa"/>
            <w:vAlign w:val="center"/>
          </w:tcPr>
          <w:p w14:paraId="38F5FE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硕士</w:t>
            </w:r>
          </w:p>
        </w:tc>
        <w:tc>
          <w:tcPr>
            <w:tcW w:w="852" w:type="dxa"/>
            <w:vAlign w:val="center"/>
          </w:tcPr>
          <w:p w14:paraId="795423D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lang w:val="en-US" w:eastAsia="zh-CN"/>
              </w:rPr>
            </w:pPr>
            <w:r>
              <w:rPr>
                <w:rFonts w:hint="default" w:ascii="Times New Roman" w:hAnsi="Times New Roman" w:eastAsia="STFangsong" w:cs="Times New Roman"/>
                <w:b w:val="0"/>
                <w:bCs w:val="0"/>
                <w:color w:val="auto"/>
                <w:sz w:val="21"/>
                <w:szCs w:val="21"/>
                <w:lang w:val="en-US" w:eastAsia="zh-CN"/>
              </w:rPr>
              <w:t>24</w:t>
            </w:r>
          </w:p>
        </w:tc>
        <w:tc>
          <w:tcPr>
            <w:tcW w:w="852" w:type="dxa"/>
            <w:vAlign w:val="center"/>
          </w:tcPr>
          <w:p w14:paraId="02759774">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lang w:val="en-US" w:eastAsia="zh-CN"/>
              </w:rPr>
            </w:pPr>
            <w:r>
              <w:rPr>
                <w:rFonts w:hint="default" w:ascii="Times New Roman" w:hAnsi="Times New Roman" w:eastAsia="STFangsong" w:cs="Times New Roman"/>
                <w:b w:val="0"/>
                <w:bCs w:val="0"/>
                <w:color w:val="auto"/>
                <w:sz w:val="21"/>
                <w:szCs w:val="21"/>
                <w:lang w:val="en-US" w:eastAsia="zh-CN"/>
              </w:rPr>
              <w:t>24</w:t>
            </w:r>
          </w:p>
        </w:tc>
        <w:tc>
          <w:tcPr>
            <w:tcW w:w="1095" w:type="dxa"/>
            <w:vAlign w:val="center"/>
          </w:tcPr>
          <w:p w14:paraId="0830DC01">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lang w:val="en-US" w:eastAsia="zh-CN"/>
              </w:rPr>
            </w:pPr>
            <w:r>
              <w:rPr>
                <w:rFonts w:hint="default" w:ascii="Times New Roman" w:hAnsi="Times New Roman" w:eastAsia="STFangsong" w:cs="Times New Roman"/>
                <w:b w:val="0"/>
                <w:bCs w:val="0"/>
                <w:color w:val="auto"/>
                <w:sz w:val="21"/>
                <w:szCs w:val="21"/>
                <w:lang w:val="en-US" w:eastAsia="zh-CN"/>
              </w:rPr>
              <w:t>19</w:t>
            </w:r>
          </w:p>
        </w:tc>
        <w:tc>
          <w:tcPr>
            <w:tcW w:w="708" w:type="dxa"/>
            <w:vAlign w:val="center"/>
          </w:tcPr>
          <w:p w14:paraId="69CEF3BC">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709" w:type="dxa"/>
            <w:vAlign w:val="center"/>
          </w:tcPr>
          <w:p w14:paraId="1F144C57">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lang w:val="en-US" w:eastAsia="zh-CN"/>
              </w:rPr>
            </w:pPr>
            <w:r>
              <w:rPr>
                <w:rFonts w:hint="default" w:ascii="Times New Roman" w:hAnsi="Times New Roman" w:eastAsia="STFangsong" w:cs="Times New Roman"/>
                <w:b w:val="0"/>
                <w:bCs w:val="0"/>
                <w:color w:val="auto"/>
                <w:sz w:val="21"/>
                <w:szCs w:val="21"/>
                <w:lang w:val="en-US" w:eastAsia="zh-CN"/>
              </w:rPr>
              <w:t>1</w:t>
            </w:r>
          </w:p>
        </w:tc>
        <w:tc>
          <w:tcPr>
            <w:tcW w:w="896" w:type="dxa"/>
            <w:vAlign w:val="center"/>
          </w:tcPr>
          <w:p w14:paraId="036AAAA4">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r>
              <w:rPr>
                <w:rFonts w:hint="default" w:ascii="Times New Roman" w:hAnsi="Times New Roman" w:eastAsia="STFangsong" w:cs="Times New Roman"/>
                <w:b w:val="0"/>
                <w:bCs w:val="0"/>
                <w:color w:val="auto"/>
                <w:sz w:val="21"/>
                <w:szCs w:val="21"/>
              </w:rPr>
              <w:t>1</w:t>
            </w:r>
          </w:p>
        </w:tc>
        <w:tc>
          <w:tcPr>
            <w:tcW w:w="853" w:type="dxa"/>
            <w:vAlign w:val="center"/>
          </w:tcPr>
          <w:p w14:paraId="565CE2BE">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lang w:val="en-US" w:eastAsia="zh-CN"/>
              </w:rPr>
            </w:pPr>
            <w:r>
              <w:rPr>
                <w:rFonts w:hint="default" w:ascii="Times New Roman" w:hAnsi="Times New Roman" w:eastAsia="STFangsong" w:cs="Times New Roman"/>
                <w:b w:val="0"/>
                <w:bCs w:val="0"/>
                <w:color w:val="auto"/>
                <w:sz w:val="21"/>
                <w:szCs w:val="21"/>
                <w:lang w:val="en-US" w:eastAsia="zh-CN"/>
              </w:rPr>
              <w:t>3</w:t>
            </w:r>
          </w:p>
        </w:tc>
        <w:tc>
          <w:tcPr>
            <w:tcW w:w="853" w:type="dxa"/>
          </w:tcPr>
          <w:p w14:paraId="5FAB198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exact"/>
              <w:ind w:left="0" w:leftChars="0" w:right="0" w:rightChars="0" w:firstLine="0"/>
              <w:jc w:val="left"/>
              <w:rPr>
                <w:rFonts w:hint="default" w:ascii="Times New Roman" w:hAnsi="Times New Roman" w:eastAsia="STFangsong" w:cs="Times New Roman"/>
                <w:b w:val="0"/>
                <w:bCs w:val="0"/>
                <w:color w:val="auto"/>
                <w:kern w:val="0"/>
                <w:sz w:val="21"/>
                <w:szCs w:val="21"/>
                <w:lang w:val="en-US" w:eastAsia="zh-CN"/>
              </w:rPr>
            </w:pPr>
            <w:r>
              <w:rPr>
                <w:rFonts w:hint="default" w:ascii="Times New Roman" w:hAnsi="Times New Roman" w:eastAsia="STFangsong" w:cs="Times New Roman"/>
                <w:b w:val="0"/>
                <w:bCs w:val="0"/>
                <w:color w:val="auto"/>
                <w:kern w:val="0"/>
                <w:sz w:val="21"/>
                <w:szCs w:val="21"/>
                <w:lang w:val="en-US" w:eastAsia="zh-CN"/>
              </w:rPr>
              <w:t>24,100%</w:t>
            </w:r>
          </w:p>
        </w:tc>
      </w:tr>
      <w:tr w14:paraId="2CA11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852" w:type="dxa"/>
            <w:vMerge w:val="continue"/>
            <w:vAlign w:val="center"/>
          </w:tcPr>
          <w:p w14:paraId="77AF840E">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852" w:type="dxa"/>
            <w:vAlign w:val="center"/>
          </w:tcPr>
          <w:p w14:paraId="049596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博士</w:t>
            </w:r>
          </w:p>
        </w:tc>
        <w:tc>
          <w:tcPr>
            <w:tcW w:w="852" w:type="dxa"/>
            <w:vAlign w:val="center"/>
          </w:tcPr>
          <w:p w14:paraId="79842CCC">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852" w:type="dxa"/>
            <w:vAlign w:val="center"/>
          </w:tcPr>
          <w:p w14:paraId="1A5E57AE">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1095" w:type="dxa"/>
            <w:vAlign w:val="center"/>
          </w:tcPr>
          <w:p w14:paraId="25C51787">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708" w:type="dxa"/>
            <w:vAlign w:val="center"/>
          </w:tcPr>
          <w:p w14:paraId="14EB5430">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709" w:type="dxa"/>
            <w:vAlign w:val="center"/>
          </w:tcPr>
          <w:p w14:paraId="7311D914">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896" w:type="dxa"/>
            <w:vAlign w:val="center"/>
          </w:tcPr>
          <w:p w14:paraId="61ECC7E7">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853" w:type="dxa"/>
            <w:vAlign w:val="center"/>
          </w:tcPr>
          <w:p w14:paraId="7A93FC80">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firstLine="0"/>
              <w:jc w:val="center"/>
              <w:rPr>
                <w:rFonts w:hint="default" w:ascii="Times New Roman" w:hAnsi="Times New Roman" w:eastAsia="STFangsong" w:cs="Times New Roman"/>
                <w:b w:val="0"/>
                <w:bCs w:val="0"/>
                <w:color w:val="auto"/>
                <w:sz w:val="21"/>
                <w:szCs w:val="21"/>
              </w:rPr>
            </w:pPr>
          </w:p>
        </w:tc>
        <w:tc>
          <w:tcPr>
            <w:tcW w:w="853" w:type="dxa"/>
          </w:tcPr>
          <w:p w14:paraId="7787BC3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exact"/>
              <w:ind w:left="0" w:leftChars="0" w:right="0" w:rightChars="0" w:firstLine="0"/>
              <w:jc w:val="left"/>
              <w:rPr>
                <w:rFonts w:hint="default" w:ascii="Times New Roman" w:hAnsi="Times New Roman" w:eastAsia="STFangsong" w:cs="Times New Roman"/>
                <w:b w:val="0"/>
                <w:bCs w:val="0"/>
                <w:color w:val="auto"/>
                <w:kern w:val="0"/>
                <w:sz w:val="21"/>
                <w:szCs w:val="21"/>
              </w:rPr>
            </w:pPr>
          </w:p>
        </w:tc>
      </w:tr>
    </w:tbl>
    <w:p w14:paraId="018078D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SimSun" w:cs="Times New Roman"/>
          <w:b w:val="0"/>
          <w:bCs w:val="0"/>
          <w:i w:val="0"/>
          <w:iCs w:val="0"/>
          <w:color w:val="auto"/>
          <w:kern w:val="2"/>
          <w:sz w:val="24"/>
          <w:szCs w:val="24"/>
          <w:lang w:val="en-US" w:eastAsia="zh-CN" w:bidi="ar-SA"/>
        </w:rPr>
      </w:pPr>
      <w:bookmarkStart w:id="9" w:name="_Toc14528"/>
    </w:p>
    <w:p w14:paraId="723903D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r>
        <w:rPr>
          <w:rFonts w:hint="default" w:ascii="Times New Roman" w:hAnsi="Times New Roman" w:eastAsia="SimHei" w:cs="Times New Roman"/>
          <w:b w:val="0"/>
          <w:bCs w:val="0"/>
          <w:i w:val="0"/>
          <w:iCs w:val="0"/>
          <w:color w:val="auto"/>
          <w:kern w:val="2"/>
          <w:sz w:val="28"/>
          <w:szCs w:val="28"/>
          <w:lang w:val="en-US" w:eastAsia="zh-CN" w:bidi="ar-SA"/>
        </w:rPr>
        <w:t>（二）师资队伍</w:t>
      </w:r>
      <w:bookmarkEnd w:id="9"/>
    </w:p>
    <w:p w14:paraId="5602CF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1.</w:t>
      </w:r>
      <w:r>
        <w:rPr>
          <w:rFonts w:hint="default" w:ascii="Times New Roman" w:hAnsi="Times New Roman" w:eastAsia="SimSun" w:cs="Times New Roman"/>
          <w:i w:val="0"/>
          <w:iCs w:val="0"/>
          <w:color w:val="auto"/>
          <w:kern w:val="2"/>
          <w:sz w:val="24"/>
          <w:szCs w:val="24"/>
          <w:lang w:val="en-US" w:eastAsia="zh-CN" w:bidi="ar-SA"/>
        </w:rPr>
        <w:t>通过师德师风建设系列举措，师德师风建设成效明显</w:t>
      </w:r>
    </w:p>
    <w:p w14:paraId="7EF2F2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（1）</w:t>
      </w:r>
      <w:r>
        <w:rPr>
          <w:rFonts w:hint="default" w:ascii="Times New Roman" w:hAnsi="Times New Roman" w:eastAsia="SimSun" w:cs="Times New Roman"/>
          <w:i w:val="0"/>
          <w:iCs w:val="0"/>
          <w:color w:val="auto"/>
          <w:kern w:val="2"/>
          <w:sz w:val="24"/>
          <w:szCs w:val="24"/>
          <w:lang w:val="en-US" w:eastAsia="zh-CN" w:bidi="ar-SA"/>
        </w:rPr>
        <w:t>进一步坚定了正确的政治方向，规范了教师从教行为。通过“不忘初心、牢记使命”等一系主题教育活动，引领教师牢固树立中国特色社会主义理想信念，带头践行社会主义核心价值体系，模范遵守宪法、法律法规和职业道德。近五年，没有发生一起违背师德师风的事件，没有教师受到任何党纪政务处分。</w:t>
      </w:r>
    </w:p>
    <w:p w14:paraId="27F2EA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（2）</w:t>
      </w:r>
      <w:r>
        <w:rPr>
          <w:rFonts w:hint="default" w:ascii="Times New Roman" w:hAnsi="Times New Roman" w:eastAsia="SimSun" w:cs="Times New Roman"/>
          <w:i w:val="0"/>
          <w:iCs w:val="0"/>
          <w:color w:val="auto"/>
          <w:kern w:val="2"/>
          <w:sz w:val="24"/>
          <w:szCs w:val="24"/>
          <w:lang w:val="en-US" w:eastAsia="zh-CN" w:bidi="ar-SA"/>
        </w:rPr>
        <w:t>进一步强化了“育人为本，德育为先，全面发展”的教育理念，增强教师教书育人本领。通过组织教师参加教育部“厚植弘扬师德风尚，做新时代党和人民满意的好老师”网络培训等培训学习，教师业务能力和教育教学质量不断得以提高，在开展的系列实践活动中，将师德师风建设的成果贯穿于实践教学之中，增强了学生实践能力，提高了服务社会水平，育人成效明显。本年度，4门课程认定为校级“放心课程”、2篇教改论文获省级二等奖；1个实习基地获湖南省高校校外优秀实习基地；“庭审进校园”实践教学活动被湖南政法频道、人民网、新湖南等近10家媒体报道，受到社会广泛关注和好评；学科竞赛获“哲寻杯”华中地区公共管理案例大赛特等奖1项、最佳公共管理方案奖1项、湖南省第八届知识产权竞答赛（决赛）高校组三等奖1项、湖南省大学生英语口语大赛二等奖1项；创新创业项目获国家级立项1项、省级1项、校级1项。</w:t>
      </w:r>
    </w:p>
    <w:p w14:paraId="5D23CD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（3）</w:t>
      </w:r>
      <w:r>
        <w:rPr>
          <w:rFonts w:hint="default" w:ascii="Times New Roman" w:hAnsi="Times New Roman" w:eastAsia="SimSun" w:cs="Times New Roman"/>
          <w:i w:val="0"/>
          <w:iCs w:val="0"/>
          <w:color w:val="auto"/>
          <w:kern w:val="2"/>
          <w:sz w:val="24"/>
          <w:szCs w:val="24"/>
          <w:lang w:val="en-US" w:eastAsia="zh-CN" w:bidi="ar-SA"/>
        </w:rPr>
        <w:t>进一步弘扬了师德师风，切实增强师德教育效果。李敏荣获湖南省法学本科教学十大标兵；周训芳获评研究生教育工作校级优秀任课教师；蒋兰香、吴献萍、阳永恒获“优秀共产党员”荣誉称号；黄娟、阳永恒、熊玲君、匡娉婷荣获“优秀班主任”；王蓉、石凯先后荣获“优秀党务工作者”；有11名党员教师已经成功注册社会扶贫APP会员，全体教师争先多轮次为贫困村、贫困户，困难师生爱心捐款帮扶。</w:t>
      </w:r>
    </w:p>
    <w:p w14:paraId="2CBED8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表6 师德师风建设</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3881"/>
        <w:gridCol w:w="1563"/>
        <w:gridCol w:w="2290"/>
      </w:tblGrid>
      <w:tr w14:paraId="28A72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48D0CFB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3874" w:type="dxa"/>
            <w:vAlign w:val="center"/>
          </w:tcPr>
          <w:p w14:paraId="3AC8BB7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荣誉表彰</w:t>
            </w:r>
          </w:p>
        </w:tc>
        <w:tc>
          <w:tcPr>
            <w:tcW w:w="1560" w:type="dxa"/>
            <w:vAlign w:val="center"/>
          </w:tcPr>
          <w:p w14:paraId="349EABB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获得者</w:t>
            </w:r>
          </w:p>
        </w:tc>
        <w:tc>
          <w:tcPr>
            <w:tcW w:w="2286" w:type="dxa"/>
            <w:vAlign w:val="center"/>
          </w:tcPr>
          <w:p w14:paraId="3809555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授予单位</w:t>
            </w:r>
          </w:p>
        </w:tc>
      </w:tr>
      <w:tr w14:paraId="785C7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61C9C4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3874" w:type="dxa"/>
            <w:vAlign w:val="center"/>
          </w:tcPr>
          <w:p w14:paraId="067AE4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优秀班主任老师</w:t>
            </w:r>
          </w:p>
        </w:tc>
        <w:tc>
          <w:tcPr>
            <w:tcW w:w="1560" w:type="dxa"/>
            <w:vAlign w:val="center"/>
          </w:tcPr>
          <w:p w14:paraId="7F0225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阳永恒</w:t>
            </w:r>
          </w:p>
        </w:tc>
        <w:tc>
          <w:tcPr>
            <w:tcW w:w="2286" w:type="dxa"/>
            <w:vAlign w:val="center"/>
          </w:tcPr>
          <w:p w14:paraId="4B72C6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r w14:paraId="66AA9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615817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w:t>
            </w:r>
          </w:p>
        </w:tc>
        <w:tc>
          <w:tcPr>
            <w:tcW w:w="3874" w:type="dxa"/>
            <w:vAlign w:val="center"/>
          </w:tcPr>
          <w:p w14:paraId="1ACDF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优秀共产党员</w:t>
            </w:r>
          </w:p>
        </w:tc>
        <w:tc>
          <w:tcPr>
            <w:tcW w:w="1560" w:type="dxa"/>
            <w:vAlign w:val="center"/>
          </w:tcPr>
          <w:p w14:paraId="27BAB5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阳永恒</w:t>
            </w:r>
          </w:p>
        </w:tc>
        <w:tc>
          <w:tcPr>
            <w:tcW w:w="2286" w:type="dxa"/>
            <w:vAlign w:val="center"/>
          </w:tcPr>
          <w:p w14:paraId="718016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中南林业科技大学</w:t>
            </w:r>
          </w:p>
        </w:tc>
      </w:tr>
      <w:tr w14:paraId="117DB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1ED789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3</w:t>
            </w:r>
          </w:p>
        </w:tc>
        <w:tc>
          <w:tcPr>
            <w:tcW w:w="3874" w:type="dxa"/>
            <w:vAlign w:val="center"/>
          </w:tcPr>
          <w:p w14:paraId="79277F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优秀党务工作者</w:t>
            </w:r>
          </w:p>
        </w:tc>
        <w:tc>
          <w:tcPr>
            <w:tcW w:w="1560" w:type="dxa"/>
            <w:vAlign w:val="center"/>
          </w:tcPr>
          <w:p w14:paraId="53D04A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石凯</w:t>
            </w:r>
          </w:p>
        </w:tc>
        <w:tc>
          <w:tcPr>
            <w:tcW w:w="2286" w:type="dxa"/>
            <w:vAlign w:val="center"/>
          </w:tcPr>
          <w:p w14:paraId="214745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中南林业科技大学</w:t>
            </w:r>
          </w:p>
        </w:tc>
      </w:tr>
      <w:tr w14:paraId="402CC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1641BE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4</w:t>
            </w:r>
          </w:p>
        </w:tc>
        <w:tc>
          <w:tcPr>
            <w:tcW w:w="3874" w:type="dxa"/>
            <w:vAlign w:val="center"/>
          </w:tcPr>
          <w:p w14:paraId="52D5FA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60" w:type="dxa"/>
            <w:vAlign w:val="center"/>
          </w:tcPr>
          <w:p w14:paraId="4DC15A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熊玲君</w:t>
            </w:r>
          </w:p>
        </w:tc>
        <w:tc>
          <w:tcPr>
            <w:tcW w:w="2286" w:type="dxa"/>
            <w:vAlign w:val="center"/>
          </w:tcPr>
          <w:p w14:paraId="1B2E78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中南林业科技大学</w:t>
            </w:r>
          </w:p>
        </w:tc>
      </w:tr>
      <w:tr w14:paraId="460FC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1B4BC9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5</w:t>
            </w:r>
          </w:p>
        </w:tc>
        <w:tc>
          <w:tcPr>
            <w:tcW w:w="3874" w:type="dxa"/>
            <w:vAlign w:val="center"/>
          </w:tcPr>
          <w:p w14:paraId="243E49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优秀班主任</w:t>
            </w:r>
          </w:p>
        </w:tc>
        <w:tc>
          <w:tcPr>
            <w:tcW w:w="1560" w:type="dxa"/>
            <w:vAlign w:val="center"/>
          </w:tcPr>
          <w:p w14:paraId="4BD262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匡娉婷</w:t>
            </w:r>
          </w:p>
        </w:tc>
        <w:tc>
          <w:tcPr>
            <w:tcW w:w="2286" w:type="dxa"/>
            <w:vAlign w:val="center"/>
          </w:tcPr>
          <w:p w14:paraId="36902E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中南林业科技大学</w:t>
            </w:r>
          </w:p>
        </w:tc>
      </w:tr>
      <w:tr w14:paraId="7910FB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02" w:type="dxa"/>
            <w:vAlign w:val="center"/>
          </w:tcPr>
          <w:p w14:paraId="02786F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6</w:t>
            </w:r>
          </w:p>
        </w:tc>
        <w:tc>
          <w:tcPr>
            <w:tcW w:w="3874" w:type="dxa"/>
            <w:vAlign w:val="center"/>
          </w:tcPr>
          <w:p w14:paraId="7141F1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讲课比赛</w:t>
            </w:r>
          </w:p>
        </w:tc>
        <w:tc>
          <w:tcPr>
            <w:tcW w:w="1560" w:type="dxa"/>
            <w:vAlign w:val="center"/>
          </w:tcPr>
          <w:p w14:paraId="6A1DAD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曹芳</w:t>
            </w:r>
          </w:p>
        </w:tc>
        <w:tc>
          <w:tcPr>
            <w:tcW w:w="2286" w:type="dxa"/>
            <w:vAlign w:val="center"/>
          </w:tcPr>
          <w:p w14:paraId="3EE3F0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w:t>
            </w:r>
          </w:p>
        </w:tc>
      </w:tr>
    </w:tbl>
    <w:p w14:paraId="591922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p>
    <w:p w14:paraId="0ABDC5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表7 师资队伍结构</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22"/>
        <w:gridCol w:w="800"/>
        <w:gridCol w:w="666"/>
        <w:gridCol w:w="707"/>
        <w:gridCol w:w="724"/>
        <w:gridCol w:w="836"/>
        <w:gridCol w:w="887"/>
        <w:gridCol w:w="998"/>
        <w:gridCol w:w="667"/>
        <w:gridCol w:w="668"/>
      </w:tblGrid>
      <w:tr w14:paraId="2E24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Align w:val="center"/>
          </w:tcPr>
          <w:p w14:paraId="73801F8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专业技术职务</w:t>
            </w:r>
          </w:p>
        </w:tc>
        <w:tc>
          <w:tcPr>
            <w:tcW w:w="727" w:type="dxa"/>
            <w:vAlign w:val="center"/>
          </w:tcPr>
          <w:p w14:paraId="0728005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合计</w:t>
            </w:r>
          </w:p>
        </w:tc>
        <w:tc>
          <w:tcPr>
            <w:tcW w:w="806" w:type="dxa"/>
            <w:vAlign w:val="center"/>
          </w:tcPr>
          <w:p w14:paraId="54C5A83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35岁</w:t>
            </w:r>
          </w:p>
          <w:p w14:paraId="7E8F625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及以下</w:t>
            </w:r>
          </w:p>
        </w:tc>
        <w:tc>
          <w:tcPr>
            <w:tcW w:w="671" w:type="dxa"/>
            <w:vAlign w:val="center"/>
          </w:tcPr>
          <w:p w14:paraId="0A74ECD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36至</w:t>
            </w:r>
          </w:p>
          <w:p w14:paraId="4D083CE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45岁</w:t>
            </w:r>
          </w:p>
        </w:tc>
        <w:tc>
          <w:tcPr>
            <w:tcW w:w="712" w:type="dxa"/>
            <w:vAlign w:val="center"/>
          </w:tcPr>
          <w:p w14:paraId="261336F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46至</w:t>
            </w:r>
          </w:p>
          <w:p w14:paraId="7988C50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55岁</w:t>
            </w:r>
          </w:p>
        </w:tc>
        <w:tc>
          <w:tcPr>
            <w:tcW w:w="729" w:type="dxa"/>
            <w:vAlign w:val="center"/>
          </w:tcPr>
          <w:p w14:paraId="0AED592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56至</w:t>
            </w:r>
          </w:p>
          <w:p w14:paraId="0EA925F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60岁</w:t>
            </w:r>
          </w:p>
        </w:tc>
        <w:tc>
          <w:tcPr>
            <w:tcW w:w="842" w:type="dxa"/>
            <w:vAlign w:val="center"/>
          </w:tcPr>
          <w:p w14:paraId="01B10B1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61岁</w:t>
            </w:r>
          </w:p>
          <w:p w14:paraId="6922069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及以上</w:t>
            </w:r>
          </w:p>
        </w:tc>
        <w:tc>
          <w:tcPr>
            <w:tcW w:w="894" w:type="dxa"/>
            <w:vAlign w:val="center"/>
          </w:tcPr>
          <w:p w14:paraId="3A42DF1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博士学位人数</w:t>
            </w:r>
          </w:p>
        </w:tc>
        <w:tc>
          <w:tcPr>
            <w:tcW w:w="1006" w:type="dxa"/>
            <w:vAlign w:val="center"/>
          </w:tcPr>
          <w:p w14:paraId="6EDBBC3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具有境外经历人数</w:t>
            </w:r>
          </w:p>
        </w:tc>
        <w:tc>
          <w:tcPr>
            <w:tcW w:w="672" w:type="dxa"/>
            <w:vAlign w:val="center"/>
          </w:tcPr>
          <w:p w14:paraId="5853760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博导</w:t>
            </w:r>
          </w:p>
          <w:p w14:paraId="7EAB53E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人数</w:t>
            </w:r>
          </w:p>
        </w:tc>
        <w:tc>
          <w:tcPr>
            <w:tcW w:w="673" w:type="dxa"/>
            <w:vAlign w:val="center"/>
          </w:tcPr>
          <w:p w14:paraId="0982097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硕导</w:t>
            </w:r>
          </w:p>
          <w:p w14:paraId="6B048B0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人数</w:t>
            </w:r>
          </w:p>
        </w:tc>
      </w:tr>
      <w:tr w14:paraId="7A06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Align w:val="center"/>
          </w:tcPr>
          <w:p w14:paraId="18CB2B4E">
            <w:pPr>
              <w:autoSpaceDE w:val="0"/>
              <w:autoSpaceDN w:val="0"/>
              <w:adjustRightInd w:val="0"/>
              <w:spacing w:line="360" w:lineRule="exact"/>
              <w:jc w:val="center"/>
              <w:rPr>
                <w:rFonts w:hint="default" w:ascii="Times New Roman" w:hAnsi="Times New Roman" w:cs="Times New Roman" w:eastAsiaTheme="majorEastAsia"/>
                <w:b/>
                <w:bCs/>
                <w:color w:val="auto"/>
                <w:kern w:val="2"/>
                <w:szCs w:val="21"/>
                <w:lang w:val="en-US" w:eastAsia="zh-CN" w:bidi="ar-SA"/>
              </w:rPr>
            </w:pPr>
            <w:r>
              <w:rPr>
                <w:rFonts w:hint="eastAsia" w:asciiTheme="majorEastAsia" w:hAnsiTheme="majorEastAsia" w:eastAsiaTheme="majorEastAsia" w:cstheme="majorEastAsia"/>
                <w:b/>
                <w:bCs/>
                <w:kern w:val="2"/>
                <w:szCs w:val="21"/>
              </w:rPr>
              <w:t>正高级</w:t>
            </w:r>
          </w:p>
        </w:tc>
        <w:tc>
          <w:tcPr>
            <w:tcW w:w="727" w:type="dxa"/>
            <w:vAlign w:val="center"/>
          </w:tcPr>
          <w:p w14:paraId="23E548DC">
            <w:pPr>
              <w:widowControl/>
              <w:adjustRightInd w:val="0"/>
              <w:snapToGrid w:val="0"/>
              <w:spacing w:line="360" w:lineRule="exact"/>
              <w:ind w:firstLine="210" w:firstLineChars="100"/>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11</w:t>
            </w:r>
          </w:p>
        </w:tc>
        <w:tc>
          <w:tcPr>
            <w:tcW w:w="806" w:type="dxa"/>
            <w:vAlign w:val="center"/>
          </w:tcPr>
          <w:p w14:paraId="7A8E961C">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1" w:type="dxa"/>
            <w:vAlign w:val="center"/>
          </w:tcPr>
          <w:p w14:paraId="75417049">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712" w:type="dxa"/>
            <w:vAlign w:val="center"/>
          </w:tcPr>
          <w:p w14:paraId="35FDC219">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9</w:t>
            </w:r>
          </w:p>
        </w:tc>
        <w:tc>
          <w:tcPr>
            <w:tcW w:w="729" w:type="dxa"/>
            <w:vAlign w:val="center"/>
          </w:tcPr>
          <w:p w14:paraId="3B99545C">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2</w:t>
            </w:r>
          </w:p>
        </w:tc>
        <w:tc>
          <w:tcPr>
            <w:tcW w:w="842" w:type="dxa"/>
            <w:vAlign w:val="center"/>
          </w:tcPr>
          <w:p w14:paraId="57ACF6B1">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94" w:type="dxa"/>
            <w:vAlign w:val="center"/>
          </w:tcPr>
          <w:p w14:paraId="2B297A3A">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6</w:t>
            </w:r>
          </w:p>
        </w:tc>
        <w:tc>
          <w:tcPr>
            <w:tcW w:w="1006" w:type="dxa"/>
            <w:vAlign w:val="center"/>
          </w:tcPr>
          <w:p w14:paraId="4A1768FC">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3</w:t>
            </w:r>
          </w:p>
        </w:tc>
        <w:tc>
          <w:tcPr>
            <w:tcW w:w="672" w:type="dxa"/>
            <w:vAlign w:val="center"/>
          </w:tcPr>
          <w:p w14:paraId="41BECEB2">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3" w:type="dxa"/>
            <w:vAlign w:val="center"/>
          </w:tcPr>
          <w:p w14:paraId="6670734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11</w:t>
            </w:r>
          </w:p>
        </w:tc>
      </w:tr>
      <w:tr w14:paraId="51FA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Align w:val="center"/>
          </w:tcPr>
          <w:p w14:paraId="3031E4C0">
            <w:pPr>
              <w:autoSpaceDE w:val="0"/>
              <w:autoSpaceDN w:val="0"/>
              <w:adjustRightInd w:val="0"/>
              <w:spacing w:line="360" w:lineRule="exact"/>
              <w:jc w:val="center"/>
              <w:rPr>
                <w:rFonts w:hint="default" w:ascii="Times New Roman" w:hAnsi="Times New Roman" w:cs="Times New Roman" w:eastAsiaTheme="majorEastAsia"/>
                <w:b/>
                <w:bCs/>
                <w:color w:val="auto"/>
                <w:kern w:val="2"/>
                <w:szCs w:val="21"/>
                <w:lang w:val="en-US" w:eastAsia="zh-CN" w:bidi="ar-SA"/>
              </w:rPr>
            </w:pPr>
            <w:r>
              <w:rPr>
                <w:rFonts w:hint="eastAsia" w:asciiTheme="majorEastAsia" w:hAnsiTheme="majorEastAsia" w:eastAsiaTheme="majorEastAsia" w:cstheme="majorEastAsia"/>
                <w:b/>
                <w:bCs/>
                <w:kern w:val="2"/>
                <w:szCs w:val="21"/>
              </w:rPr>
              <w:t>副高级</w:t>
            </w:r>
          </w:p>
        </w:tc>
        <w:tc>
          <w:tcPr>
            <w:tcW w:w="727" w:type="dxa"/>
            <w:vAlign w:val="center"/>
          </w:tcPr>
          <w:p w14:paraId="0E7AF392">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10</w:t>
            </w:r>
          </w:p>
        </w:tc>
        <w:tc>
          <w:tcPr>
            <w:tcW w:w="806" w:type="dxa"/>
            <w:vAlign w:val="center"/>
          </w:tcPr>
          <w:p w14:paraId="7ADE6CCA">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1" w:type="dxa"/>
            <w:vAlign w:val="center"/>
          </w:tcPr>
          <w:p w14:paraId="4E7A096D">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6</w:t>
            </w:r>
          </w:p>
        </w:tc>
        <w:tc>
          <w:tcPr>
            <w:tcW w:w="712" w:type="dxa"/>
            <w:vAlign w:val="center"/>
          </w:tcPr>
          <w:p w14:paraId="7B7CB511">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4</w:t>
            </w:r>
          </w:p>
        </w:tc>
        <w:tc>
          <w:tcPr>
            <w:tcW w:w="729" w:type="dxa"/>
            <w:vAlign w:val="center"/>
          </w:tcPr>
          <w:p w14:paraId="0AEC9935">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42" w:type="dxa"/>
            <w:vAlign w:val="center"/>
          </w:tcPr>
          <w:p w14:paraId="6D47F480">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94" w:type="dxa"/>
            <w:vAlign w:val="center"/>
          </w:tcPr>
          <w:p w14:paraId="26BE1596">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4</w:t>
            </w:r>
          </w:p>
        </w:tc>
        <w:tc>
          <w:tcPr>
            <w:tcW w:w="1006" w:type="dxa"/>
            <w:vAlign w:val="center"/>
          </w:tcPr>
          <w:p w14:paraId="28A3ED6E">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w:t>
            </w:r>
          </w:p>
        </w:tc>
        <w:tc>
          <w:tcPr>
            <w:tcW w:w="672" w:type="dxa"/>
            <w:vAlign w:val="center"/>
          </w:tcPr>
          <w:p w14:paraId="0426FF08">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3" w:type="dxa"/>
            <w:vAlign w:val="center"/>
          </w:tcPr>
          <w:p w14:paraId="66A32953">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10</w:t>
            </w:r>
          </w:p>
        </w:tc>
      </w:tr>
      <w:tr w14:paraId="3622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Align w:val="center"/>
          </w:tcPr>
          <w:p w14:paraId="1FCA0E6E">
            <w:pPr>
              <w:autoSpaceDE w:val="0"/>
              <w:autoSpaceDN w:val="0"/>
              <w:adjustRightInd w:val="0"/>
              <w:spacing w:line="360" w:lineRule="exact"/>
              <w:jc w:val="center"/>
              <w:rPr>
                <w:rFonts w:hint="default" w:ascii="Times New Roman" w:hAnsi="Times New Roman" w:cs="Times New Roman" w:eastAsiaTheme="majorEastAsia"/>
                <w:b/>
                <w:bCs/>
                <w:color w:val="auto"/>
                <w:kern w:val="2"/>
                <w:szCs w:val="21"/>
                <w:lang w:val="en-US" w:eastAsia="zh-CN" w:bidi="ar-SA"/>
              </w:rPr>
            </w:pPr>
            <w:r>
              <w:rPr>
                <w:rFonts w:hint="eastAsia" w:asciiTheme="majorEastAsia" w:hAnsiTheme="majorEastAsia" w:eastAsiaTheme="majorEastAsia" w:cstheme="majorEastAsia"/>
                <w:b/>
                <w:bCs/>
                <w:kern w:val="2"/>
                <w:szCs w:val="21"/>
              </w:rPr>
              <w:t>中级</w:t>
            </w:r>
          </w:p>
        </w:tc>
        <w:tc>
          <w:tcPr>
            <w:tcW w:w="727" w:type="dxa"/>
            <w:vAlign w:val="center"/>
          </w:tcPr>
          <w:p w14:paraId="107773CC">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10</w:t>
            </w:r>
          </w:p>
        </w:tc>
        <w:tc>
          <w:tcPr>
            <w:tcW w:w="806" w:type="dxa"/>
            <w:vAlign w:val="center"/>
          </w:tcPr>
          <w:p w14:paraId="5A1F0F99">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w:t>
            </w:r>
          </w:p>
        </w:tc>
        <w:tc>
          <w:tcPr>
            <w:tcW w:w="671" w:type="dxa"/>
            <w:vAlign w:val="center"/>
          </w:tcPr>
          <w:p w14:paraId="6FCCF6A3">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7</w:t>
            </w:r>
          </w:p>
        </w:tc>
        <w:tc>
          <w:tcPr>
            <w:tcW w:w="712" w:type="dxa"/>
            <w:vAlign w:val="center"/>
          </w:tcPr>
          <w:p w14:paraId="35BD7AC7">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w:t>
            </w:r>
          </w:p>
        </w:tc>
        <w:tc>
          <w:tcPr>
            <w:tcW w:w="729" w:type="dxa"/>
            <w:vAlign w:val="center"/>
          </w:tcPr>
          <w:p w14:paraId="7E382A36">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w:t>
            </w:r>
          </w:p>
        </w:tc>
        <w:tc>
          <w:tcPr>
            <w:tcW w:w="842" w:type="dxa"/>
            <w:vAlign w:val="center"/>
          </w:tcPr>
          <w:p w14:paraId="2A47E455">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94" w:type="dxa"/>
            <w:vAlign w:val="center"/>
          </w:tcPr>
          <w:p w14:paraId="77E7117F">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w:t>
            </w:r>
          </w:p>
        </w:tc>
        <w:tc>
          <w:tcPr>
            <w:tcW w:w="1006" w:type="dxa"/>
            <w:vAlign w:val="center"/>
          </w:tcPr>
          <w:p w14:paraId="6142FACF">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2</w:t>
            </w:r>
          </w:p>
        </w:tc>
        <w:tc>
          <w:tcPr>
            <w:tcW w:w="672" w:type="dxa"/>
            <w:vAlign w:val="center"/>
          </w:tcPr>
          <w:p w14:paraId="2363C468">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3" w:type="dxa"/>
            <w:vAlign w:val="center"/>
          </w:tcPr>
          <w:p w14:paraId="0A13D0D5">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r>
      <w:tr w14:paraId="3F92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Align w:val="center"/>
          </w:tcPr>
          <w:p w14:paraId="0B0309E3">
            <w:pPr>
              <w:autoSpaceDE w:val="0"/>
              <w:autoSpaceDN w:val="0"/>
              <w:adjustRightInd w:val="0"/>
              <w:spacing w:line="360" w:lineRule="exact"/>
              <w:jc w:val="center"/>
              <w:rPr>
                <w:rFonts w:hint="default" w:ascii="Times New Roman" w:hAnsi="Times New Roman" w:cs="Times New Roman" w:eastAsiaTheme="majorEastAsia"/>
                <w:b/>
                <w:bCs/>
                <w:color w:val="auto"/>
                <w:kern w:val="2"/>
                <w:szCs w:val="21"/>
                <w:lang w:val="en-US" w:eastAsia="zh-CN" w:bidi="ar-SA"/>
              </w:rPr>
            </w:pPr>
            <w:r>
              <w:rPr>
                <w:rFonts w:hint="eastAsia" w:asciiTheme="majorEastAsia" w:hAnsiTheme="majorEastAsia" w:eastAsiaTheme="majorEastAsia" w:cstheme="majorEastAsia"/>
                <w:b/>
                <w:bCs/>
                <w:kern w:val="2"/>
                <w:szCs w:val="21"/>
              </w:rPr>
              <w:t>其他</w:t>
            </w:r>
          </w:p>
        </w:tc>
        <w:tc>
          <w:tcPr>
            <w:tcW w:w="727" w:type="dxa"/>
            <w:vAlign w:val="center"/>
          </w:tcPr>
          <w:p w14:paraId="63764FD5">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2</w:t>
            </w:r>
          </w:p>
        </w:tc>
        <w:tc>
          <w:tcPr>
            <w:tcW w:w="806" w:type="dxa"/>
            <w:vAlign w:val="center"/>
          </w:tcPr>
          <w:p w14:paraId="4C7A6686">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2</w:t>
            </w:r>
          </w:p>
        </w:tc>
        <w:tc>
          <w:tcPr>
            <w:tcW w:w="671" w:type="dxa"/>
            <w:vAlign w:val="center"/>
          </w:tcPr>
          <w:p w14:paraId="0FFB75D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712" w:type="dxa"/>
            <w:vAlign w:val="center"/>
          </w:tcPr>
          <w:p w14:paraId="0F074965">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729" w:type="dxa"/>
            <w:vAlign w:val="center"/>
          </w:tcPr>
          <w:p w14:paraId="31987AF2">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42" w:type="dxa"/>
            <w:vAlign w:val="center"/>
          </w:tcPr>
          <w:p w14:paraId="13E2FC07">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94" w:type="dxa"/>
            <w:vAlign w:val="center"/>
          </w:tcPr>
          <w:p w14:paraId="032C378C">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2</w:t>
            </w:r>
          </w:p>
        </w:tc>
        <w:tc>
          <w:tcPr>
            <w:tcW w:w="1006" w:type="dxa"/>
            <w:vAlign w:val="center"/>
          </w:tcPr>
          <w:p w14:paraId="3308D6A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w:t>
            </w:r>
          </w:p>
        </w:tc>
        <w:tc>
          <w:tcPr>
            <w:tcW w:w="672" w:type="dxa"/>
            <w:vAlign w:val="center"/>
          </w:tcPr>
          <w:p w14:paraId="2A94D799">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3" w:type="dxa"/>
            <w:vAlign w:val="center"/>
          </w:tcPr>
          <w:p w14:paraId="1C1ED90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r>
      <w:tr w14:paraId="173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Align w:val="center"/>
          </w:tcPr>
          <w:p w14:paraId="6F79F0FD">
            <w:pPr>
              <w:autoSpaceDE w:val="0"/>
              <w:autoSpaceDN w:val="0"/>
              <w:adjustRightInd w:val="0"/>
              <w:spacing w:line="360" w:lineRule="exact"/>
              <w:jc w:val="center"/>
              <w:rPr>
                <w:rFonts w:hint="default" w:ascii="Times New Roman" w:hAnsi="Times New Roman" w:cs="Times New Roman" w:eastAsiaTheme="majorEastAsia"/>
                <w:b/>
                <w:bCs/>
                <w:color w:val="auto"/>
                <w:kern w:val="2"/>
                <w:szCs w:val="21"/>
                <w:lang w:val="en-US" w:eastAsia="zh-CN" w:bidi="ar-SA"/>
              </w:rPr>
            </w:pPr>
            <w:r>
              <w:rPr>
                <w:rFonts w:hint="eastAsia" w:asciiTheme="majorEastAsia" w:hAnsiTheme="majorEastAsia" w:eastAsiaTheme="majorEastAsia" w:cstheme="majorEastAsia"/>
                <w:b/>
                <w:bCs/>
                <w:kern w:val="2"/>
                <w:szCs w:val="21"/>
              </w:rPr>
              <w:t>总计</w:t>
            </w:r>
          </w:p>
        </w:tc>
        <w:tc>
          <w:tcPr>
            <w:tcW w:w="727" w:type="dxa"/>
            <w:vAlign w:val="center"/>
          </w:tcPr>
          <w:p w14:paraId="2CE78056">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33</w:t>
            </w:r>
          </w:p>
        </w:tc>
        <w:tc>
          <w:tcPr>
            <w:tcW w:w="806" w:type="dxa"/>
            <w:vAlign w:val="center"/>
          </w:tcPr>
          <w:p w14:paraId="3BD1530B">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3</w:t>
            </w:r>
          </w:p>
        </w:tc>
        <w:tc>
          <w:tcPr>
            <w:tcW w:w="671" w:type="dxa"/>
            <w:vAlign w:val="center"/>
          </w:tcPr>
          <w:p w14:paraId="17903108">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13</w:t>
            </w:r>
          </w:p>
        </w:tc>
        <w:tc>
          <w:tcPr>
            <w:tcW w:w="712" w:type="dxa"/>
            <w:vAlign w:val="center"/>
          </w:tcPr>
          <w:p w14:paraId="1DB1C25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14</w:t>
            </w:r>
          </w:p>
        </w:tc>
        <w:tc>
          <w:tcPr>
            <w:tcW w:w="729" w:type="dxa"/>
            <w:vAlign w:val="center"/>
          </w:tcPr>
          <w:p w14:paraId="10823D7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3</w:t>
            </w:r>
          </w:p>
        </w:tc>
        <w:tc>
          <w:tcPr>
            <w:tcW w:w="842" w:type="dxa"/>
            <w:vAlign w:val="center"/>
          </w:tcPr>
          <w:p w14:paraId="2CB84134">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894" w:type="dxa"/>
            <w:vAlign w:val="center"/>
          </w:tcPr>
          <w:p w14:paraId="17873048">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13</w:t>
            </w:r>
          </w:p>
        </w:tc>
        <w:tc>
          <w:tcPr>
            <w:tcW w:w="1006" w:type="dxa"/>
            <w:vAlign w:val="center"/>
          </w:tcPr>
          <w:p w14:paraId="4C9A8F67">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7</w:t>
            </w:r>
          </w:p>
        </w:tc>
        <w:tc>
          <w:tcPr>
            <w:tcW w:w="672" w:type="dxa"/>
            <w:vAlign w:val="center"/>
          </w:tcPr>
          <w:p w14:paraId="3835AD26">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0</w:t>
            </w:r>
          </w:p>
        </w:tc>
        <w:tc>
          <w:tcPr>
            <w:tcW w:w="673" w:type="dxa"/>
            <w:vAlign w:val="center"/>
          </w:tcPr>
          <w:p w14:paraId="7138766A">
            <w:pPr>
              <w:widowControl/>
              <w:adjustRightInd w:val="0"/>
              <w:snapToGrid w:val="0"/>
              <w:spacing w:line="360" w:lineRule="exact"/>
              <w:jc w:val="center"/>
              <w:rPr>
                <w:rFonts w:hint="default" w:ascii="Times New Roman" w:hAnsi="Times New Roman" w:eastAsia="STFangsong" w:cs="Times New Roman"/>
                <w:bCs/>
                <w:color w:val="auto"/>
                <w:szCs w:val="21"/>
              </w:rPr>
            </w:pPr>
            <w:r>
              <w:rPr>
                <w:rFonts w:hint="default" w:ascii="Times New Roman" w:hAnsi="Times New Roman" w:eastAsia="STFangsong" w:cs="Times New Roman"/>
                <w:bCs/>
                <w:szCs w:val="21"/>
              </w:rPr>
              <w:t>21</w:t>
            </w:r>
          </w:p>
        </w:tc>
      </w:tr>
    </w:tbl>
    <w:p w14:paraId="031647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p>
    <w:p w14:paraId="005BA1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表8  教师参加国内学术会议情况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8"/>
        <w:gridCol w:w="877"/>
        <w:gridCol w:w="656"/>
        <w:gridCol w:w="1790"/>
        <w:gridCol w:w="828"/>
        <w:gridCol w:w="834"/>
        <w:gridCol w:w="1146"/>
        <w:gridCol w:w="1769"/>
      </w:tblGrid>
      <w:tr w14:paraId="41A2D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3" w:type="dxa"/>
            <w:vAlign w:val="center"/>
          </w:tcPr>
          <w:p w14:paraId="2F1CE05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884" w:type="dxa"/>
            <w:vAlign w:val="center"/>
          </w:tcPr>
          <w:p w14:paraId="00441A9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教师</w:t>
            </w:r>
          </w:p>
          <w:p w14:paraId="505FD8B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姓名</w:t>
            </w:r>
          </w:p>
        </w:tc>
        <w:tc>
          <w:tcPr>
            <w:tcW w:w="660" w:type="dxa"/>
            <w:vAlign w:val="center"/>
          </w:tcPr>
          <w:p w14:paraId="441CA78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职称</w:t>
            </w:r>
          </w:p>
        </w:tc>
        <w:tc>
          <w:tcPr>
            <w:tcW w:w="1806" w:type="dxa"/>
            <w:vAlign w:val="center"/>
          </w:tcPr>
          <w:p w14:paraId="1CFA2B7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834" w:type="dxa"/>
            <w:vAlign w:val="center"/>
          </w:tcPr>
          <w:p w14:paraId="1B090D8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会议级别</w:t>
            </w:r>
          </w:p>
        </w:tc>
        <w:tc>
          <w:tcPr>
            <w:tcW w:w="840" w:type="dxa"/>
            <w:vAlign w:val="center"/>
          </w:tcPr>
          <w:p w14:paraId="08F4354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1156" w:type="dxa"/>
            <w:vAlign w:val="center"/>
          </w:tcPr>
          <w:p w14:paraId="7E63AC1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785" w:type="dxa"/>
            <w:vAlign w:val="center"/>
          </w:tcPr>
          <w:p w14:paraId="3B7FCC2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报告名称及形式</w:t>
            </w:r>
          </w:p>
        </w:tc>
      </w:tr>
      <w:tr w14:paraId="5BD2E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3" w:type="dxa"/>
            <w:vAlign w:val="center"/>
          </w:tcPr>
          <w:p w14:paraId="4FE3AD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884" w:type="dxa"/>
            <w:vAlign w:val="center"/>
          </w:tcPr>
          <w:p w14:paraId="2A9C7D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张小罗</w:t>
            </w:r>
          </w:p>
        </w:tc>
        <w:tc>
          <w:tcPr>
            <w:tcW w:w="660" w:type="dxa"/>
            <w:vAlign w:val="center"/>
          </w:tcPr>
          <w:p w14:paraId="5FDA0E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1D3482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湖南省法学会宪法研究会2021年年会</w:t>
            </w:r>
          </w:p>
        </w:tc>
        <w:tc>
          <w:tcPr>
            <w:tcW w:w="834" w:type="dxa"/>
            <w:vAlign w:val="center"/>
          </w:tcPr>
          <w:p w14:paraId="204480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840" w:type="dxa"/>
            <w:vAlign w:val="center"/>
          </w:tcPr>
          <w:p w14:paraId="11E3CD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湖南湘潭</w:t>
            </w:r>
          </w:p>
        </w:tc>
        <w:tc>
          <w:tcPr>
            <w:tcW w:w="1156" w:type="dxa"/>
            <w:vAlign w:val="center"/>
          </w:tcPr>
          <w:p w14:paraId="6806C5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20211030</w:t>
            </w:r>
          </w:p>
        </w:tc>
        <w:tc>
          <w:tcPr>
            <w:tcW w:w="1785" w:type="dxa"/>
            <w:vAlign w:val="center"/>
          </w:tcPr>
          <w:p w14:paraId="624CD8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第五单元主持人</w:t>
            </w:r>
          </w:p>
        </w:tc>
      </w:tr>
      <w:tr w14:paraId="4C3B9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3" w:type="dxa"/>
            <w:vAlign w:val="center"/>
          </w:tcPr>
          <w:p w14:paraId="37772D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884" w:type="dxa"/>
            <w:vAlign w:val="center"/>
          </w:tcPr>
          <w:p w14:paraId="2EC477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660" w:type="dxa"/>
            <w:vAlign w:val="center"/>
          </w:tcPr>
          <w:p w14:paraId="790681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806" w:type="dxa"/>
            <w:vAlign w:val="center"/>
          </w:tcPr>
          <w:p w14:paraId="30E365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湖南省法学会知识产权法学研究会2021年年会</w:t>
            </w:r>
          </w:p>
        </w:tc>
        <w:tc>
          <w:tcPr>
            <w:tcW w:w="834" w:type="dxa"/>
            <w:vAlign w:val="center"/>
          </w:tcPr>
          <w:p w14:paraId="535B1B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840" w:type="dxa"/>
            <w:vAlign w:val="center"/>
          </w:tcPr>
          <w:p w14:paraId="250385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156" w:type="dxa"/>
            <w:vAlign w:val="center"/>
          </w:tcPr>
          <w:p w14:paraId="24B367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20211223</w:t>
            </w:r>
          </w:p>
        </w:tc>
        <w:tc>
          <w:tcPr>
            <w:tcW w:w="1785" w:type="dxa"/>
            <w:vAlign w:val="center"/>
          </w:tcPr>
          <w:p w14:paraId="6CB836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在</w:t>
            </w:r>
            <w:r>
              <w:rPr>
                <w:rFonts w:hint="default" w:ascii="Times New Roman" w:hAnsi="Times New Roman" w:cs="Times New Roman" w:eastAsiaTheme="majorEastAsia"/>
                <w:bCs/>
                <w:color w:val="auto"/>
                <w:sz w:val="21"/>
                <w:szCs w:val="21"/>
              </w:rPr>
              <w:t>主题论坛“数据与算法”</w:t>
            </w:r>
            <w:r>
              <w:rPr>
                <w:rFonts w:hint="default" w:ascii="Times New Roman" w:hAnsi="Times New Roman" w:cs="Times New Roman" w:eastAsiaTheme="majorEastAsia"/>
                <w:bCs/>
                <w:color w:val="auto"/>
                <w:sz w:val="21"/>
                <w:szCs w:val="21"/>
                <w:lang w:val="en-US" w:eastAsia="zh-CN"/>
              </w:rPr>
              <w:t>担任</w:t>
            </w:r>
            <w:r>
              <w:rPr>
                <w:rFonts w:hint="default" w:ascii="Times New Roman" w:hAnsi="Times New Roman" w:cs="Times New Roman" w:eastAsiaTheme="majorEastAsia"/>
                <w:bCs/>
                <w:color w:val="auto"/>
                <w:sz w:val="21"/>
                <w:szCs w:val="21"/>
              </w:rPr>
              <w:t>评议人</w:t>
            </w:r>
          </w:p>
        </w:tc>
      </w:tr>
      <w:tr w14:paraId="376F92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3" w:type="dxa"/>
            <w:vAlign w:val="center"/>
          </w:tcPr>
          <w:p w14:paraId="33488B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884" w:type="dxa"/>
            <w:vAlign w:val="center"/>
          </w:tcPr>
          <w:p w14:paraId="572E70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660" w:type="dxa"/>
            <w:vAlign w:val="center"/>
          </w:tcPr>
          <w:p w14:paraId="7C5B0F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806" w:type="dxa"/>
            <w:vAlign w:val="center"/>
          </w:tcPr>
          <w:p w14:paraId="388BB5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湖南省药品监督管理局《中华人民共和国专利法》专题培训会议</w:t>
            </w:r>
          </w:p>
        </w:tc>
        <w:tc>
          <w:tcPr>
            <w:tcW w:w="834" w:type="dxa"/>
            <w:vAlign w:val="center"/>
          </w:tcPr>
          <w:p w14:paraId="575602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840" w:type="dxa"/>
            <w:vAlign w:val="center"/>
          </w:tcPr>
          <w:p w14:paraId="753DF3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156" w:type="dxa"/>
            <w:vAlign w:val="center"/>
          </w:tcPr>
          <w:p w14:paraId="1080A7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20211005</w:t>
            </w:r>
          </w:p>
        </w:tc>
        <w:tc>
          <w:tcPr>
            <w:tcW w:w="1785" w:type="dxa"/>
            <w:vAlign w:val="center"/>
          </w:tcPr>
          <w:p w14:paraId="1E9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color w:val="auto"/>
                <w:sz w:val="21"/>
                <w:szCs w:val="21"/>
                <w:lang w:eastAsia="zh-CN"/>
              </w:rPr>
              <w:t>“</w:t>
            </w:r>
            <w:r>
              <w:rPr>
                <w:rFonts w:hint="default" w:ascii="Times New Roman" w:hAnsi="Times New Roman" w:cs="Times New Roman" w:eastAsiaTheme="majorEastAsia"/>
                <w:bCs/>
                <w:color w:val="auto"/>
                <w:sz w:val="21"/>
                <w:szCs w:val="21"/>
              </w:rPr>
              <w:t>新专利法医药产业相关制度解读</w:t>
            </w:r>
            <w:r>
              <w:rPr>
                <w:rFonts w:hint="eastAsia" w:ascii="Times New Roman" w:hAnsi="Times New Roman" w:cs="Times New Roman" w:eastAsiaTheme="majorEastAsia"/>
                <w:bCs/>
                <w:color w:val="auto"/>
                <w:sz w:val="21"/>
                <w:szCs w:val="21"/>
                <w:lang w:eastAsia="zh-CN"/>
              </w:rPr>
              <w:t>”</w:t>
            </w:r>
            <w:r>
              <w:rPr>
                <w:rFonts w:hint="default" w:ascii="Times New Roman" w:hAnsi="Times New Roman" w:cs="Times New Roman" w:eastAsiaTheme="majorEastAsia"/>
                <w:bCs/>
                <w:color w:val="auto"/>
                <w:sz w:val="21"/>
                <w:szCs w:val="21"/>
              </w:rPr>
              <w:t>的专题讲座</w:t>
            </w:r>
            <w:r>
              <w:rPr>
                <w:rFonts w:hint="default" w:ascii="Times New Roman" w:hAnsi="Times New Roman" w:cs="Times New Roman" w:eastAsiaTheme="majorEastAsia"/>
                <w:bCs/>
                <w:color w:val="auto"/>
                <w:sz w:val="21"/>
                <w:szCs w:val="21"/>
                <w:lang w:val="en-US" w:eastAsia="zh-CN"/>
              </w:rPr>
              <w:t>主讲人</w:t>
            </w:r>
          </w:p>
        </w:tc>
      </w:tr>
      <w:tr w14:paraId="7DDE9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3" w:type="dxa"/>
            <w:vAlign w:val="center"/>
          </w:tcPr>
          <w:p w14:paraId="11F860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4</w:t>
            </w:r>
          </w:p>
        </w:tc>
        <w:tc>
          <w:tcPr>
            <w:tcW w:w="884" w:type="dxa"/>
            <w:vAlign w:val="center"/>
          </w:tcPr>
          <w:p w14:paraId="09EAFC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胡潇潇</w:t>
            </w:r>
          </w:p>
        </w:tc>
        <w:tc>
          <w:tcPr>
            <w:tcW w:w="660" w:type="dxa"/>
            <w:vAlign w:val="center"/>
          </w:tcPr>
          <w:p w14:paraId="59661A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副教授</w:t>
            </w:r>
          </w:p>
        </w:tc>
        <w:tc>
          <w:tcPr>
            <w:tcW w:w="1806" w:type="dxa"/>
            <w:vAlign w:val="center"/>
          </w:tcPr>
          <w:p w14:paraId="2D6342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麓山知识产权论坛</w:t>
            </w:r>
          </w:p>
        </w:tc>
        <w:tc>
          <w:tcPr>
            <w:tcW w:w="834" w:type="dxa"/>
            <w:vAlign w:val="center"/>
          </w:tcPr>
          <w:p w14:paraId="659AFD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840" w:type="dxa"/>
            <w:vAlign w:val="center"/>
          </w:tcPr>
          <w:p w14:paraId="7C83F1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156" w:type="dxa"/>
            <w:vAlign w:val="center"/>
          </w:tcPr>
          <w:p w14:paraId="09D620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20210427</w:t>
            </w:r>
          </w:p>
        </w:tc>
        <w:tc>
          <w:tcPr>
            <w:tcW w:w="1785" w:type="dxa"/>
            <w:vAlign w:val="center"/>
          </w:tcPr>
          <w:p w14:paraId="5C5929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主题发言人</w:t>
            </w:r>
          </w:p>
        </w:tc>
      </w:tr>
      <w:tr w14:paraId="29B1C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3" w:type="dxa"/>
            <w:vAlign w:val="center"/>
          </w:tcPr>
          <w:p w14:paraId="7C4FA1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5</w:t>
            </w:r>
          </w:p>
        </w:tc>
        <w:tc>
          <w:tcPr>
            <w:tcW w:w="884" w:type="dxa"/>
            <w:vAlign w:val="center"/>
          </w:tcPr>
          <w:p w14:paraId="22A32A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向佐群</w:t>
            </w:r>
          </w:p>
        </w:tc>
        <w:tc>
          <w:tcPr>
            <w:tcW w:w="660" w:type="dxa"/>
            <w:vAlign w:val="center"/>
          </w:tcPr>
          <w:p w14:paraId="53AE61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教授</w:t>
            </w:r>
          </w:p>
        </w:tc>
        <w:tc>
          <w:tcPr>
            <w:tcW w:w="1806" w:type="dxa"/>
            <w:vAlign w:val="center"/>
          </w:tcPr>
          <w:p w14:paraId="32FCE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湖南省法学会法学教育研究会</w:t>
            </w:r>
          </w:p>
        </w:tc>
        <w:tc>
          <w:tcPr>
            <w:tcW w:w="834" w:type="dxa"/>
            <w:vAlign w:val="center"/>
          </w:tcPr>
          <w:p w14:paraId="156137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省级</w:t>
            </w:r>
          </w:p>
        </w:tc>
        <w:tc>
          <w:tcPr>
            <w:tcW w:w="840" w:type="dxa"/>
            <w:vAlign w:val="center"/>
          </w:tcPr>
          <w:p w14:paraId="0376638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湖南长沙</w:t>
            </w:r>
          </w:p>
        </w:tc>
        <w:tc>
          <w:tcPr>
            <w:tcW w:w="1156" w:type="dxa"/>
            <w:vAlign w:val="center"/>
          </w:tcPr>
          <w:p w14:paraId="155E68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20211221</w:t>
            </w:r>
          </w:p>
        </w:tc>
        <w:tc>
          <w:tcPr>
            <w:tcW w:w="1785" w:type="dxa"/>
            <w:vAlign w:val="center"/>
          </w:tcPr>
          <w:p w14:paraId="23DA14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主题单元主持人</w:t>
            </w:r>
          </w:p>
        </w:tc>
      </w:tr>
    </w:tbl>
    <w:p w14:paraId="5C272B5F">
      <w:pPr>
        <w:keepNext w:val="0"/>
        <w:keepLines w:val="0"/>
        <w:pageBreakBefore w:val="0"/>
        <w:kinsoku/>
        <w:wordWrap/>
        <w:topLinePunct w:val="0"/>
        <w:autoSpaceDE w:val="0"/>
        <w:autoSpaceDN w:val="0"/>
        <w:bidi w:val="0"/>
        <w:adjustRightInd w:val="0"/>
        <w:spacing w:line="360" w:lineRule="exact"/>
        <w:ind w:left="0" w:leftChars="0" w:right="0" w:rightChars="0" w:firstLine="0" w:firstLineChars="0"/>
        <w:jc w:val="left"/>
        <w:rPr>
          <w:rFonts w:hint="default" w:ascii="Times New Roman" w:hAnsi="Times New Roman" w:eastAsia="STFangsong" w:cs="Times New Roman"/>
          <w:color w:val="auto"/>
          <w:szCs w:val="21"/>
        </w:rPr>
      </w:pPr>
    </w:p>
    <w:p w14:paraId="62E2E66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0" w:name="_Toc25908"/>
      <w:r>
        <w:rPr>
          <w:rFonts w:hint="default" w:ascii="Times New Roman" w:hAnsi="Times New Roman" w:eastAsia="SimHei" w:cs="Times New Roman"/>
          <w:b w:val="0"/>
          <w:bCs w:val="0"/>
          <w:i w:val="0"/>
          <w:iCs w:val="0"/>
          <w:color w:val="auto"/>
          <w:kern w:val="2"/>
          <w:sz w:val="28"/>
          <w:szCs w:val="28"/>
          <w:lang w:val="en-US" w:eastAsia="zh-CN" w:bidi="ar-SA"/>
        </w:rPr>
        <w:t>（三）科学研究和社会服务</w:t>
      </w:r>
      <w:bookmarkEnd w:id="10"/>
    </w:p>
    <w:p w14:paraId="13DE88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论文质量</w:t>
      </w:r>
    </w:p>
    <w:p w14:paraId="48B469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ajorEastAsia"/>
          <w:b/>
          <w:i w:val="0"/>
          <w:iCs w:val="0"/>
          <w:color w:val="auto"/>
          <w:kern w:val="2"/>
          <w:szCs w:val="21"/>
          <w:lang w:val="en-US" w:eastAsia="zh-CN" w:bidi="ar-SA"/>
        </w:rPr>
      </w:pPr>
      <w:r>
        <w:rPr>
          <w:rFonts w:hint="default" w:ascii="Times New Roman" w:hAnsi="Times New Roman" w:cs="Times New Roman" w:eastAsiaTheme="majorEastAsia"/>
          <w:b/>
          <w:i w:val="0"/>
          <w:iCs w:val="0"/>
          <w:color w:val="auto"/>
          <w:kern w:val="2"/>
          <w:szCs w:val="21"/>
          <w:lang w:val="en-US" w:eastAsia="zh-CN" w:bidi="ar-SA"/>
        </w:rPr>
        <w:t>表9 发表论文（以中南林业科技大学为第一单位）</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9"/>
        <w:gridCol w:w="1891"/>
        <w:gridCol w:w="1094"/>
        <w:gridCol w:w="1714"/>
        <w:gridCol w:w="1915"/>
        <w:gridCol w:w="1395"/>
      </w:tblGrid>
      <w:tr w14:paraId="3F7BF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529" w:type="dxa"/>
            <w:vAlign w:val="center"/>
          </w:tcPr>
          <w:p w14:paraId="6EFFDA2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891" w:type="dxa"/>
            <w:vAlign w:val="center"/>
          </w:tcPr>
          <w:p w14:paraId="51378CA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论文题目</w:t>
            </w:r>
          </w:p>
        </w:tc>
        <w:tc>
          <w:tcPr>
            <w:tcW w:w="1094" w:type="dxa"/>
            <w:vAlign w:val="center"/>
          </w:tcPr>
          <w:p w14:paraId="30A5FE3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第一和通讯作者</w:t>
            </w:r>
          </w:p>
        </w:tc>
        <w:tc>
          <w:tcPr>
            <w:tcW w:w="1714" w:type="dxa"/>
            <w:vAlign w:val="center"/>
          </w:tcPr>
          <w:p w14:paraId="1AFD49B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刊物</w:t>
            </w:r>
          </w:p>
        </w:tc>
        <w:tc>
          <w:tcPr>
            <w:tcW w:w="1915" w:type="dxa"/>
            <w:vAlign w:val="center"/>
          </w:tcPr>
          <w:p w14:paraId="3B9488B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卷期页码</w:t>
            </w:r>
          </w:p>
        </w:tc>
        <w:tc>
          <w:tcPr>
            <w:tcW w:w="1395" w:type="dxa"/>
            <w:vAlign w:val="center"/>
          </w:tcPr>
          <w:p w14:paraId="0226E68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体现论文水平及与学位点契合度的有关说明？</w:t>
            </w:r>
            <w:r>
              <w:rPr>
                <w:rFonts w:hint="default" w:ascii="Times New Roman" w:hAnsi="Times New Roman" w:cs="Times New Roman" w:eastAsiaTheme="majorEastAsia"/>
                <w:i w:val="0"/>
                <w:iCs w:val="0"/>
                <w:szCs w:val="21"/>
              </w:rPr>
              <w:t>（</w:t>
            </w:r>
            <w:r>
              <w:rPr>
                <w:rFonts w:hint="default" w:ascii="Times New Roman" w:hAnsi="Times New Roman" w:cs="Times New Roman" w:eastAsiaTheme="majorEastAsia"/>
                <w:i w:val="0"/>
                <w:iCs w:val="0"/>
                <w:szCs w:val="21"/>
                <w:lang w:val="en-US" w:eastAsia="zh-CN"/>
              </w:rPr>
              <w:t>论文摘要，</w:t>
            </w:r>
            <w:r>
              <w:rPr>
                <w:rFonts w:hint="default" w:ascii="Times New Roman" w:hAnsi="Times New Roman" w:cs="Times New Roman" w:eastAsiaTheme="majorEastAsia"/>
                <w:i w:val="0"/>
                <w:iCs w:val="0"/>
                <w:szCs w:val="21"/>
              </w:rPr>
              <w:t>限50字）</w:t>
            </w:r>
            <w:r>
              <w:rPr>
                <w:rFonts w:hint="default" w:ascii="Times New Roman" w:hAnsi="Times New Roman" w:cs="Times New Roman" w:eastAsiaTheme="majorEastAsia"/>
                <w:i w:val="0"/>
                <w:iCs w:val="0"/>
                <w:color w:val="auto"/>
                <w:szCs w:val="21"/>
                <w:lang w:val="en-US" w:eastAsia="zh-CN"/>
              </w:rPr>
              <w:t>期刊收录情况？</w:t>
            </w:r>
          </w:p>
        </w:tc>
      </w:tr>
      <w:tr w14:paraId="24A25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5D891C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1891" w:type="dxa"/>
            <w:vAlign w:val="center"/>
          </w:tcPr>
          <w:p w14:paraId="74BD84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论刑法中的合意关系</w:t>
            </w:r>
          </w:p>
        </w:tc>
        <w:tc>
          <w:tcPr>
            <w:tcW w:w="1094" w:type="dxa"/>
            <w:vAlign w:val="center"/>
          </w:tcPr>
          <w:p w14:paraId="2FF282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王飞跃</w:t>
            </w:r>
          </w:p>
        </w:tc>
        <w:tc>
          <w:tcPr>
            <w:tcW w:w="1714" w:type="dxa"/>
            <w:vAlign w:val="center"/>
          </w:tcPr>
          <w:p w14:paraId="400F45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法学家</w:t>
            </w:r>
          </w:p>
        </w:tc>
        <w:tc>
          <w:tcPr>
            <w:tcW w:w="1915" w:type="dxa"/>
            <w:vAlign w:val="center"/>
          </w:tcPr>
          <w:p w14:paraId="1DCE4D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r>
              <w:rPr>
                <w:rFonts w:hint="default" w:ascii="Times New Roman" w:hAnsi="Times New Roman" w:cs="Times New Roman" w:eastAsiaTheme="majorEastAsia"/>
                <w:bCs/>
                <w:color w:val="auto"/>
                <w:sz w:val="21"/>
                <w:szCs w:val="21"/>
                <w:lang w:val="en-US" w:eastAsia="zh-CN"/>
              </w:rPr>
              <w:t>(03)</w:t>
            </w:r>
            <w:r>
              <w:rPr>
                <w:rFonts w:hint="default" w:ascii="Times New Roman" w:hAnsi="Times New Roman" w:cs="Times New Roman" w:eastAsiaTheme="majorEastAsia"/>
                <w:bCs/>
                <w:color w:val="auto"/>
                <w:sz w:val="21"/>
                <w:szCs w:val="21"/>
              </w:rPr>
              <w:t>：155-169</w:t>
            </w:r>
          </w:p>
        </w:tc>
        <w:tc>
          <w:tcPr>
            <w:tcW w:w="1395" w:type="dxa"/>
            <w:vAlign w:val="center"/>
          </w:tcPr>
          <w:p w14:paraId="09D564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学校遴选重要期刊CSSCI期刊</w:t>
            </w:r>
          </w:p>
        </w:tc>
      </w:tr>
      <w:tr w14:paraId="7671D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1B679D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w:t>
            </w:r>
          </w:p>
        </w:tc>
        <w:tc>
          <w:tcPr>
            <w:tcW w:w="1891" w:type="dxa"/>
            <w:vAlign w:val="center"/>
          </w:tcPr>
          <w:p w14:paraId="54F1A5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Research on the  Realization Path of Consultative Governance of River Basin Water Environment in China</w:t>
            </w:r>
          </w:p>
        </w:tc>
        <w:tc>
          <w:tcPr>
            <w:tcW w:w="1094" w:type="dxa"/>
            <w:vAlign w:val="center"/>
          </w:tcPr>
          <w:p w14:paraId="45F841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曹芳</w:t>
            </w:r>
          </w:p>
        </w:tc>
        <w:tc>
          <w:tcPr>
            <w:tcW w:w="1714" w:type="dxa"/>
            <w:vAlign w:val="center"/>
          </w:tcPr>
          <w:p w14:paraId="25F4B8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Meteorological and Environmental Research</w:t>
            </w:r>
          </w:p>
        </w:tc>
        <w:tc>
          <w:tcPr>
            <w:tcW w:w="1915" w:type="dxa"/>
            <w:vAlign w:val="center"/>
          </w:tcPr>
          <w:p w14:paraId="5F15D4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Vol. 12 No 2,2021</w:t>
            </w:r>
          </w:p>
        </w:tc>
        <w:tc>
          <w:tcPr>
            <w:tcW w:w="1395" w:type="dxa"/>
            <w:vAlign w:val="center"/>
          </w:tcPr>
          <w:p w14:paraId="2429EA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外文正刊</w:t>
            </w:r>
          </w:p>
        </w:tc>
      </w:tr>
      <w:tr w14:paraId="65A76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529" w:type="dxa"/>
            <w:vAlign w:val="center"/>
          </w:tcPr>
          <w:p w14:paraId="0AC88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3</w:t>
            </w:r>
          </w:p>
        </w:tc>
        <w:tc>
          <w:tcPr>
            <w:tcW w:w="1891" w:type="dxa"/>
            <w:vAlign w:val="center"/>
          </w:tcPr>
          <w:p w14:paraId="67C5C9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应建立明确的植物新品种权案件裁判规范</w:t>
            </w:r>
          </w:p>
        </w:tc>
        <w:tc>
          <w:tcPr>
            <w:tcW w:w="1094" w:type="dxa"/>
            <w:vAlign w:val="center"/>
          </w:tcPr>
          <w:p w14:paraId="7C9743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胡潇潇</w:t>
            </w:r>
          </w:p>
        </w:tc>
        <w:tc>
          <w:tcPr>
            <w:tcW w:w="1714" w:type="dxa"/>
            <w:vAlign w:val="center"/>
          </w:tcPr>
          <w:p w14:paraId="219951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民主与法制时报</w:t>
            </w:r>
          </w:p>
        </w:tc>
        <w:tc>
          <w:tcPr>
            <w:tcW w:w="1915" w:type="dxa"/>
            <w:vAlign w:val="center"/>
          </w:tcPr>
          <w:p w14:paraId="58A2C4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2021,04(08)</w:t>
            </w:r>
          </w:p>
        </w:tc>
        <w:tc>
          <w:tcPr>
            <w:tcW w:w="1395" w:type="dxa"/>
            <w:vAlign w:val="center"/>
          </w:tcPr>
          <w:p w14:paraId="2A342A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特约撰稿</w:t>
            </w:r>
          </w:p>
        </w:tc>
      </w:tr>
      <w:tr w14:paraId="0C7C4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6B429B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4</w:t>
            </w:r>
          </w:p>
        </w:tc>
        <w:tc>
          <w:tcPr>
            <w:tcW w:w="1891" w:type="dxa"/>
            <w:vAlign w:val="center"/>
          </w:tcPr>
          <w:p w14:paraId="0960BC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财政立宪民主论略</w:t>
            </w:r>
          </w:p>
        </w:tc>
        <w:tc>
          <w:tcPr>
            <w:tcW w:w="1094" w:type="dxa"/>
            <w:vAlign w:val="center"/>
          </w:tcPr>
          <w:p w14:paraId="498415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阳永恒</w:t>
            </w:r>
          </w:p>
        </w:tc>
        <w:tc>
          <w:tcPr>
            <w:tcW w:w="1714" w:type="dxa"/>
            <w:vAlign w:val="center"/>
          </w:tcPr>
          <w:p w14:paraId="513ECA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理财周刊</w:t>
            </w:r>
          </w:p>
        </w:tc>
        <w:tc>
          <w:tcPr>
            <w:tcW w:w="1915" w:type="dxa"/>
            <w:vAlign w:val="center"/>
          </w:tcPr>
          <w:p w14:paraId="51E384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2021(04):04</w:t>
            </w:r>
          </w:p>
        </w:tc>
        <w:tc>
          <w:tcPr>
            <w:tcW w:w="1395" w:type="dxa"/>
            <w:vAlign w:val="center"/>
          </w:tcPr>
          <w:p w14:paraId="614DB8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省刊</w:t>
            </w:r>
          </w:p>
        </w:tc>
      </w:tr>
      <w:tr w14:paraId="6F12DC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3B29BF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5</w:t>
            </w:r>
          </w:p>
        </w:tc>
        <w:tc>
          <w:tcPr>
            <w:tcW w:w="1891" w:type="dxa"/>
            <w:vAlign w:val="center"/>
          </w:tcPr>
          <w:p w14:paraId="7476CB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明确司法裁判规则服务种业自主创新</w:t>
            </w:r>
          </w:p>
        </w:tc>
        <w:tc>
          <w:tcPr>
            <w:tcW w:w="1094" w:type="dxa"/>
            <w:vAlign w:val="center"/>
          </w:tcPr>
          <w:p w14:paraId="5471C5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胡潇潇</w:t>
            </w:r>
          </w:p>
        </w:tc>
        <w:tc>
          <w:tcPr>
            <w:tcW w:w="1714" w:type="dxa"/>
            <w:vAlign w:val="center"/>
          </w:tcPr>
          <w:p w14:paraId="54D86E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民主与法制时报</w:t>
            </w:r>
          </w:p>
        </w:tc>
        <w:tc>
          <w:tcPr>
            <w:tcW w:w="1915" w:type="dxa"/>
            <w:vAlign w:val="center"/>
          </w:tcPr>
          <w:p w14:paraId="6EA4D2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2021,07(14)</w:t>
            </w:r>
          </w:p>
        </w:tc>
        <w:tc>
          <w:tcPr>
            <w:tcW w:w="1395" w:type="dxa"/>
            <w:vAlign w:val="center"/>
          </w:tcPr>
          <w:p w14:paraId="6400AF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特约撰稿</w:t>
            </w:r>
          </w:p>
        </w:tc>
      </w:tr>
      <w:tr w14:paraId="6D3FF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5EF8AD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6</w:t>
            </w:r>
          </w:p>
        </w:tc>
        <w:tc>
          <w:tcPr>
            <w:tcW w:w="1891" w:type="dxa"/>
            <w:vAlign w:val="center"/>
          </w:tcPr>
          <w:p w14:paraId="748049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参与式教学法在“公共政策学”课程教学中的实践创新——何以可能与何以可为</w:t>
            </w:r>
          </w:p>
        </w:tc>
        <w:tc>
          <w:tcPr>
            <w:tcW w:w="1094" w:type="dxa"/>
            <w:vAlign w:val="center"/>
          </w:tcPr>
          <w:p w14:paraId="5BF399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曹芳</w:t>
            </w:r>
          </w:p>
        </w:tc>
        <w:tc>
          <w:tcPr>
            <w:tcW w:w="1714" w:type="dxa"/>
            <w:vAlign w:val="center"/>
          </w:tcPr>
          <w:p w14:paraId="2B549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当代教育与实践</w:t>
            </w:r>
          </w:p>
        </w:tc>
        <w:tc>
          <w:tcPr>
            <w:tcW w:w="1915" w:type="dxa"/>
            <w:vAlign w:val="center"/>
          </w:tcPr>
          <w:p w14:paraId="77A3B9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2021,13(04)</w:t>
            </w:r>
          </w:p>
        </w:tc>
        <w:tc>
          <w:tcPr>
            <w:tcW w:w="1395" w:type="dxa"/>
            <w:vAlign w:val="center"/>
          </w:tcPr>
          <w:p w14:paraId="71B48B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被引5次，</w:t>
            </w:r>
            <w:r>
              <w:rPr>
                <w:rFonts w:hint="default" w:ascii="Times New Roman" w:hAnsi="Times New Roman" w:cs="Times New Roman" w:eastAsiaTheme="majorEastAsia"/>
                <w:bCs/>
                <w:color w:val="auto"/>
                <w:sz w:val="21"/>
                <w:szCs w:val="21"/>
              </w:rPr>
              <w:t>下载</w:t>
            </w:r>
            <w:r>
              <w:rPr>
                <w:rFonts w:hint="default" w:ascii="Times New Roman" w:hAnsi="Times New Roman" w:cs="Times New Roman" w:eastAsiaTheme="majorEastAsia"/>
                <w:bCs/>
                <w:color w:val="auto"/>
                <w:sz w:val="21"/>
                <w:szCs w:val="21"/>
                <w:lang w:val="en-US" w:eastAsia="zh-CN"/>
              </w:rPr>
              <w:t>244</w:t>
            </w:r>
            <w:r>
              <w:rPr>
                <w:rFonts w:hint="default" w:ascii="Times New Roman" w:hAnsi="Times New Roman" w:cs="Times New Roman" w:eastAsiaTheme="majorEastAsia"/>
                <w:bCs/>
                <w:color w:val="auto"/>
                <w:sz w:val="21"/>
                <w:szCs w:val="21"/>
              </w:rPr>
              <w:t>次</w:t>
            </w:r>
          </w:p>
        </w:tc>
      </w:tr>
      <w:tr w14:paraId="37152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4" w:hRule="atLeast"/>
          <w:jc w:val="center"/>
        </w:trPr>
        <w:tc>
          <w:tcPr>
            <w:tcW w:w="529" w:type="dxa"/>
            <w:vAlign w:val="center"/>
          </w:tcPr>
          <w:p w14:paraId="6FDF5F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7</w:t>
            </w:r>
          </w:p>
        </w:tc>
        <w:tc>
          <w:tcPr>
            <w:tcW w:w="1891" w:type="dxa"/>
            <w:vAlign w:val="center"/>
          </w:tcPr>
          <w:p w14:paraId="7175C4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fldChar w:fldCharType="begin"/>
            </w:r>
            <w:r>
              <w:rPr>
                <w:rFonts w:hint="default" w:ascii="Times New Roman" w:hAnsi="Times New Roman" w:cs="Times New Roman" w:eastAsiaTheme="majorEastAsia"/>
                <w:bCs/>
                <w:color w:val="auto"/>
                <w:sz w:val="21"/>
                <w:szCs w:val="21"/>
              </w:rPr>
              <w:instrText xml:space="preserve"> HYPERLINK "https://kns.cnki.net/kns8/Detail?sfield=fn&amp;QueryID=10&amp;CurRec=8&amp;recid=&amp;FileName=HNZF202104004&amp;DbName=CJFDLAST2021&amp;DbCode=CJFD&amp;yx=A&amp;pr=&amp;URLID=43.1431.D.20210809.1420.024" \t "https://kns.cnki.net/kns8/_blank" </w:instrText>
            </w:r>
            <w:r>
              <w:rPr>
                <w:rFonts w:hint="default" w:ascii="Times New Roman" w:hAnsi="Times New Roman" w:cs="Times New Roman" w:eastAsiaTheme="majorEastAsia"/>
                <w:bCs/>
                <w:color w:val="auto"/>
                <w:sz w:val="21"/>
                <w:szCs w:val="21"/>
              </w:rPr>
              <w:fldChar w:fldCharType="separate"/>
            </w:r>
            <w:r>
              <w:rPr>
                <w:rFonts w:hint="default" w:ascii="Times New Roman" w:hAnsi="Times New Roman" w:cs="Times New Roman" w:eastAsiaTheme="majorEastAsia"/>
                <w:bCs/>
                <w:color w:val="auto"/>
                <w:sz w:val="21"/>
                <w:szCs w:val="21"/>
              </w:rPr>
              <w:t>公司污染环境的刑事判决样态、问题与应对——基于200个判决的实证分析</w:t>
            </w:r>
            <w:r>
              <w:rPr>
                <w:rFonts w:hint="default" w:ascii="Times New Roman" w:hAnsi="Times New Roman" w:cs="Times New Roman" w:eastAsiaTheme="majorEastAsia"/>
                <w:bCs/>
                <w:color w:val="auto"/>
                <w:sz w:val="21"/>
                <w:szCs w:val="21"/>
              </w:rPr>
              <w:fldChar w:fldCharType="end"/>
            </w:r>
          </w:p>
        </w:tc>
        <w:tc>
          <w:tcPr>
            <w:tcW w:w="1094" w:type="dxa"/>
            <w:vAlign w:val="center"/>
          </w:tcPr>
          <w:p w14:paraId="71AA17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蒋兰香</w:t>
            </w:r>
          </w:p>
        </w:tc>
        <w:tc>
          <w:tcPr>
            <w:tcW w:w="1714" w:type="dxa"/>
            <w:vAlign w:val="center"/>
          </w:tcPr>
          <w:p w14:paraId="1D3CE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时代法学</w:t>
            </w:r>
          </w:p>
        </w:tc>
        <w:tc>
          <w:tcPr>
            <w:tcW w:w="1915" w:type="dxa"/>
            <w:vAlign w:val="center"/>
          </w:tcPr>
          <w:p w14:paraId="5FD0B4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2021(04):19-30</w:t>
            </w:r>
          </w:p>
        </w:tc>
        <w:tc>
          <w:tcPr>
            <w:tcW w:w="1395" w:type="dxa"/>
            <w:vAlign w:val="center"/>
          </w:tcPr>
          <w:p w14:paraId="4B5C7A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被引10次，</w:t>
            </w:r>
            <w:r>
              <w:rPr>
                <w:rFonts w:hint="default" w:ascii="Times New Roman" w:hAnsi="Times New Roman" w:cs="Times New Roman" w:eastAsiaTheme="majorEastAsia"/>
                <w:bCs/>
                <w:color w:val="auto"/>
                <w:sz w:val="21"/>
                <w:szCs w:val="21"/>
              </w:rPr>
              <w:t>下载</w:t>
            </w:r>
            <w:r>
              <w:rPr>
                <w:rFonts w:hint="default" w:ascii="Times New Roman" w:hAnsi="Times New Roman" w:cs="Times New Roman" w:eastAsiaTheme="majorEastAsia"/>
                <w:bCs/>
                <w:color w:val="auto"/>
                <w:sz w:val="21"/>
                <w:szCs w:val="21"/>
                <w:lang w:val="en-US" w:eastAsia="zh-CN"/>
              </w:rPr>
              <w:t>840</w:t>
            </w:r>
            <w:r>
              <w:rPr>
                <w:rFonts w:hint="default" w:ascii="Times New Roman" w:hAnsi="Times New Roman" w:cs="Times New Roman" w:eastAsiaTheme="majorEastAsia"/>
                <w:bCs/>
                <w:color w:val="auto"/>
                <w:sz w:val="21"/>
                <w:szCs w:val="21"/>
              </w:rPr>
              <w:t>次</w:t>
            </w:r>
          </w:p>
        </w:tc>
      </w:tr>
      <w:tr w14:paraId="2B0BF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0ACE00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8</w:t>
            </w:r>
          </w:p>
        </w:tc>
        <w:tc>
          <w:tcPr>
            <w:tcW w:w="1891" w:type="dxa"/>
            <w:vAlign w:val="center"/>
          </w:tcPr>
          <w:p w14:paraId="6A9790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fldChar w:fldCharType="begin"/>
            </w:r>
            <w:r>
              <w:rPr>
                <w:rFonts w:hint="default" w:ascii="Times New Roman" w:hAnsi="Times New Roman" w:cs="Times New Roman" w:eastAsiaTheme="majorEastAsia"/>
                <w:bCs/>
                <w:color w:val="auto"/>
                <w:sz w:val="21"/>
                <w:szCs w:val="21"/>
              </w:rPr>
              <w:instrText xml:space="preserve"> HYPERLINK "https://kns.cnki.net/kns8/Detail?sfield=fn&amp;QueryID=10&amp;CurRec=7&amp;recid=&amp;FileName=SYSG202105010&amp;DbName=CJFDLAST2021&amp;DbCode=CJFD&amp;yx=&amp;pr=&amp;URLID=" \t "https://kns.cnki.net/kns8/_blank" </w:instrText>
            </w:r>
            <w:r>
              <w:rPr>
                <w:rFonts w:hint="default" w:ascii="Times New Roman" w:hAnsi="Times New Roman" w:cs="Times New Roman" w:eastAsiaTheme="majorEastAsia"/>
                <w:bCs/>
                <w:color w:val="auto"/>
                <w:sz w:val="21"/>
                <w:szCs w:val="21"/>
              </w:rPr>
              <w:fldChar w:fldCharType="separate"/>
            </w:r>
            <w:r>
              <w:rPr>
                <w:rFonts w:hint="default" w:ascii="Times New Roman" w:hAnsi="Times New Roman" w:cs="Times New Roman" w:eastAsiaTheme="majorEastAsia"/>
                <w:bCs/>
                <w:color w:val="auto"/>
                <w:sz w:val="21"/>
                <w:szCs w:val="21"/>
              </w:rPr>
              <w:t>行政规范性文件合法性审查中存在的问题及解决路径</w:t>
            </w:r>
            <w:r>
              <w:rPr>
                <w:rFonts w:hint="default" w:ascii="Times New Roman" w:hAnsi="Times New Roman" w:cs="Times New Roman" w:eastAsiaTheme="majorEastAsia"/>
                <w:bCs/>
                <w:color w:val="auto"/>
                <w:sz w:val="21"/>
                <w:szCs w:val="21"/>
              </w:rPr>
              <w:fldChar w:fldCharType="end"/>
            </w:r>
          </w:p>
        </w:tc>
        <w:tc>
          <w:tcPr>
            <w:tcW w:w="1094" w:type="dxa"/>
            <w:vAlign w:val="center"/>
          </w:tcPr>
          <w:p w14:paraId="2D58B9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向佐群</w:t>
            </w:r>
          </w:p>
        </w:tc>
        <w:tc>
          <w:tcPr>
            <w:tcW w:w="1714" w:type="dxa"/>
            <w:vAlign w:val="center"/>
          </w:tcPr>
          <w:p w14:paraId="799A99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fldChar w:fldCharType="begin"/>
            </w:r>
            <w:r>
              <w:rPr>
                <w:rFonts w:hint="default" w:ascii="Times New Roman" w:hAnsi="Times New Roman" w:cs="Times New Roman" w:eastAsiaTheme="majorEastAsia"/>
                <w:bCs/>
                <w:color w:val="auto"/>
                <w:sz w:val="21"/>
                <w:szCs w:val="21"/>
              </w:rPr>
              <w:instrText xml:space="preserve"> HYPERLINK "https://kns.cnki.net/kns8/Navi?DBCode=CJFD&amp;BaseID=SYSG" \t "https://kns.cnki.net/kns8/_blank" </w:instrText>
            </w:r>
            <w:r>
              <w:rPr>
                <w:rFonts w:hint="default" w:ascii="Times New Roman" w:hAnsi="Times New Roman" w:cs="Times New Roman" w:eastAsiaTheme="majorEastAsia"/>
                <w:bCs/>
                <w:color w:val="auto"/>
                <w:sz w:val="21"/>
                <w:szCs w:val="21"/>
              </w:rPr>
              <w:fldChar w:fldCharType="separate"/>
            </w:r>
            <w:r>
              <w:rPr>
                <w:rFonts w:hint="default" w:ascii="Times New Roman" w:hAnsi="Times New Roman" w:cs="Times New Roman" w:eastAsiaTheme="majorEastAsia"/>
                <w:bCs/>
                <w:color w:val="auto"/>
                <w:sz w:val="21"/>
                <w:szCs w:val="21"/>
              </w:rPr>
              <w:t>邵阳学院学报(社会科学版)</w:t>
            </w:r>
            <w:r>
              <w:rPr>
                <w:rFonts w:hint="default" w:ascii="Times New Roman" w:hAnsi="Times New Roman" w:cs="Times New Roman" w:eastAsiaTheme="majorEastAsia"/>
                <w:bCs/>
                <w:color w:val="auto"/>
                <w:sz w:val="21"/>
                <w:szCs w:val="21"/>
              </w:rPr>
              <w:fldChar w:fldCharType="end"/>
            </w:r>
          </w:p>
        </w:tc>
        <w:tc>
          <w:tcPr>
            <w:tcW w:w="1915" w:type="dxa"/>
            <w:vAlign w:val="center"/>
          </w:tcPr>
          <w:p w14:paraId="6A57200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r>
              <w:rPr>
                <w:rFonts w:hint="default" w:ascii="Times New Roman" w:hAnsi="Times New Roman" w:cs="Times New Roman" w:eastAsiaTheme="majorEastAsia"/>
                <w:bCs/>
                <w:color w:val="auto"/>
                <w:sz w:val="21"/>
                <w:szCs w:val="21"/>
              </w:rPr>
              <w:t>0</w:t>
            </w:r>
            <w:r>
              <w:rPr>
                <w:rFonts w:hint="default" w:ascii="Times New Roman" w:hAnsi="Times New Roman" w:cs="Times New Roman" w:eastAsiaTheme="majorEastAsia"/>
                <w:bCs/>
                <w:color w:val="auto"/>
                <w:sz w:val="21"/>
                <w:szCs w:val="21"/>
                <w:lang w:val="en-US" w:eastAsia="zh-CN"/>
              </w:rPr>
              <w:t>5):63-68</w:t>
            </w:r>
          </w:p>
        </w:tc>
        <w:tc>
          <w:tcPr>
            <w:tcW w:w="1395" w:type="dxa"/>
            <w:vAlign w:val="center"/>
          </w:tcPr>
          <w:p w14:paraId="2AD179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被引3次，</w:t>
            </w:r>
            <w:r>
              <w:rPr>
                <w:rFonts w:hint="default" w:ascii="Times New Roman" w:hAnsi="Times New Roman" w:cs="Times New Roman" w:eastAsiaTheme="majorEastAsia"/>
                <w:bCs/>
                <w:color w:val="auto"/>
                <w:sz w:val="21"/>
                <w:szCs w:val="21"/>
              </w:rPr>
              <w:t>下载</w:t>
            </w:r>
            <w:r>
              <w:rPr>
                <w:rFonts w:hint="default" w:ascii="Times New Roman" w:hAnsi="Times New Roman" w:cs="Times New Roman" w:eastAsiaTheme="majorEastAsia"/>
                <w:bCs/>
                <w:color w:val="auto"/>
                <w:sz w:val="21"/>
                <w:szCs w:val="21"/>
                <w:lang w:val="en-US" w:eastAsia="zh-CN"/>
              </w:rPr>
              <w:t>1410</w:t>
            </w:r>
            <w:r>
              <w:rPr>
                <w:rFonts w:hint="default" w:ascii="Times New Roman" w:hAnsi="Times New Roman" w:cs="Times New Roman" w:eastAsiaTheme="majorEastAsia"/>
                <w:bCs/>
                <w:color w:val="auto"/>
                <w:sz w:val="21"/>
                <w:szCs w:val="21"/>
              </w:rPr>
              <w:t>次</w:t>
            </w:r>
          </w:p>
        </w:tc>
      </w:tr>
      <w:tr w14:paraId="24AD0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63A35D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9</w:t>
            </w:r>
          </w:p>
        </w:tc>
        <w:tc>
          <w:tcPr>
            <w:tcW w:w="1891" w:type="dxa"/>
            <w:vAlign w:val="center"/>
          </w:tcPr>
          <w:p w14:paraId="005E63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fldChar w:fldCharType="begin"/>
            </w:r>
            <w:r>
              <w:rPr>
                <w:rFonts w:hint="default" w:ascii="Times New Roman" w:hAnsi="Times New Roman" w:cs="Times New Roman" w:eastAsiaTheme="majorEastAsia"/>
                <w:bCs/>
                <w:color w:val="auto"/>
                <w:sz w:val="21"/>
                <w:szCs w:val="21"/>
                <w:lang w:val="en-US" w:eastAsia="zh-CN"/>
              </w:rPr>
              <w:instrText xml:space="preserve"> HYPERLINK "https://kns.cnki.net/kns8/Detail?sfield=fn&amp;QueryID=10&amp;CurRec=10&amp;recid=&amp;FileName=ZNLS202103007&amp;DbName=CJFDLAST2021&amp;DbCode=CJFD&amp;yx=A&amp;pr=&amp;URLID=43.1478.F.20210720.1349.007" \t "https://kns.cnki.net/kns8/_blank" </w:instrText>
            </w:r>
            <w:r>
              <w:rPr>
                <w:rFonts w:hint="default" w:ascii="Times New Roman" w:hAnsi="Times New Roman" w:cs="Times New Roman" w:eastAsiaTheme="majorEastAsia"/>
                <w:bCs/>
                <w:color w:val="auto"/>
                <w:sz w:val="21"/>
                <w:szCs w:val="21"/>
                <w:lang w:val="en-US" w:eastAsia="zh-CN"/>
              </w:rPr>
              <w:fldChar w:fldCharType="separate"/>
            </w:r>
            <w:r>
              <w:rPr>
                <w:rFonts w:hint="default" w:ascii="Times New Roman" w:hAnsi="Times New Roman" w:cs="Times New Roman" w:eastAsiaTheme="majorEastAsia"/>
                <w:bCs/>
                <w:color w:val="auto"/>
                <w:sz w:val="21"/>
                <w:szCs w:val="21"/>
                <w:lang w:val="en-US" w:eastAsia="zh-CN"/>
              </w:rPr>
              <w:t>省际环境污染合作治理行政协议履行机制困境与突破</w:t>
            </w:r>
            <w:r>
              <w:rPr>
                <w:rFonts w:hint="default" w:ascii="Times New Roman" w:hAnsi="Times New Roman" w:cs="Times New Roman" w:eastAsiaTheme="majorEastAsia"/>
                <w:bCs/>
                <w:color w:val="auto"/>
                <w:sz w:val="21"/>
                <w:szCs w:val="21"/>
                <w:lang w:val="en-US" w:eastAsia="zh-CN"/>
              </w:rPr>
              <w:fldChar w:fldCharType="end"/>
            </w:r>
          </w:p>
        </w:tc>
        <w:tc>
          <w:tcPr>
            <w:tcW w:w="1094" w:type="dxa"/>
            <w:vAlign w:val="center"/>
          </w:tcPr>
          <w:p w14:paraId="18F9D3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肖建华</w:t>
            </w:r>
          </w:p>
        </w:tc>
        <w:tc>
          <w:tcPr>
            <w:tcW w:w="1714" w:type="dxa"/>
            <w:vAlign w:val="center"/>
          </w:tcPr>
          <w:p w14:paraId="76BD25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中南林业科技大学学报（社会科学版）</w:t>
            </w:r>
          </w:p>
        </w:tc>
        <w:tc>
          <w:tcPr>
            <w:tcW w:w="1915" w:type="dxa"/>
            <w:vAlign w:val="center"/>
          </w:tcPr>
          <w:p w14:paraId="64E4C27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1(03):45</w:t>
            </w:r>
            <w:r>
              <w:rPr>
                <w:rFonts w:hint="default" w:ascii="Times New Roman" w:hAnsi="Times New Roman" w:cs="Times New Roman" w:eastAsiaTheme="majorEastAsia"/>
                <w:bCs/>
                <w:color w:val="auto"/>
                <w:sz w:val="21"/>
                <w:szCs w:val="21"/>
              </w:rPr>
              <w:t>-</w:t>
            </w:r>
            <w:r>
              <w:rPr>
                <w:rFonts w:hint="default" w:ascii="Times New Roman" w:hAnsi="Times New Roman" w:cs="Times New Roman" w:eastAsiaTheme="majorEastAsia"/>
                <w:bCs/>
                <w:color w:val="auto"/>
                <w:sz w:val="21"/>
                <w:szCs w:val="21"/>
                <w:lang w:val="en-US" w:eastAsia="zh-CN"/>
              </w:rPr>
              <w:t>51</w:t>
            </w:r>
          </w:p>
        </w:tc>
        <w:tc>
          <w:tcPr>
            <w:tcW w:w="1395" w:type="dxa"/>
            <w:vAlign w:val="center"/>
          </w:tcPr>
          <w:p w14:paraId="0D2AD5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被引3次，</w:t>
            </w:r>
            <w:r>
              <w:rPr>
                <w:rFonts w:hint="default" w:ascii="Times New Roman" w:hAnsi="Times New Roman" w:cs="Times New Roman" w:eastAsiaTheme="majorEastAsia"/>
                <w:bCs/>
                <w:color w:val="auto"/>
                <w:sz w:val="21"/>
                <w:szCs w:val="21"/>
              </w:rPr>
              <w:t>下载</w:t>
            </w:r>
            <w:r>
              <w:rPr>
                <w:rFonts w:hint="default" w:ascii="Times New Roman" w:hAnsi="Times New Roman" w:cs="Times New Roman" w:eastAsiaTheme="majorEastAsia"/>
                <w:bCs/>
                <w:color w:val="auto"/>
                <w:sz w:val="21"/>
                <w:szCs w:val="21"/>
                <w:lang w:val="en-US" w:eastAsia="zh-CN"/>
              </w:rPr>
              <w:t>471</w:t>
            </w:r>
            <w:r>
              <w:rPr>
                <w:rFonts w:hint="default" w:ascii="Times New Roman" w:hAnsi="Times New Roman" w:cs="Times New Roman" w:eastAsiaTheme="majorEastAsia"/>
                <w:bCs/>
                <w:color w:val="auto"/>
                <w:sz w:val="21"/>
                <w:szCs w:val="21"/>
              </w:rPr>
              <w:t>次</w:t>
            </w:r>
          </w:p>
        </w:tc>
      </w:tr>
      <w:tr w14:paraId="77A0A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69051D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1891" w:type="dxa"/>
            <w:vAlign w:val="center"/>
          </w:tcPr>
          <w:p w14:paraId="71310B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bookmarkStart w:id="11" w:name="_Toc10986"/>
            <w:r>
              <w:rPr>
                <w:rFonts w:hint="default" w:ascii="Times New Roman" w:hAnsi="Times New Roman" w:cs="Times New Roman" w:eastAsiaTheme="majorEastAsia"/>
                <w:bCs/>
                <w:color w:val="auto"/>
                <w:sz w:val="21"/>
                <w:szCs w:val="21"/>
                <w:lang w:val="en-US" w:eastAsia="zh-CN"/>
              </w:rPr>
              <w:t>智能治理伦理风险的关键影响因素研究——基于DEMATEL方法</w:t>
            </w:r>
            <w:bookmarkEnd w:id="11"/>
          </w:p>
        </w:tc>
        <w:tc>
          <w:tcPr>
            <w:tcW w:w="1094" w:type="dxa"/>
            <w:vAlign w:val="center"/>
          </w:tcPr>
          <w:p w14:paraId="7E4463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杨建武</w:t>
            </w:r>
          </w:p>
        </w:tc>
        <w:tc>
          <w:tcPr>
            <w:tcW w:w="1714" w:type="dxa"/>
            <w:vAlign w:val="center"/>
          </w:tcPr>
          <w:p w14:paraId="43BE68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科学与社会</w:t>
            </w:r>
          </w:p>
        </w:tc>
        <w:tc>
          <w:tcPr>
            <w:tcW w:w="1915" w:type="dxa"/>
            <w:vAlign w:val="center"/>
          </w:tcPr>
          <w:p w14:paraId="6831D4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1(04):80</w:t>
            </w:r>
            <w:r>
              <w:rPr>
                <w:rFonts w:hint="default" w:ascii="Times New Roman" w:hAnsi="Times New Roman" w:cs="Times New Roman" w:eastAsiaTheme="majorEastAsia"/>
                <w:bCs/>
                <w:color w:val="auto"/>
                <w:sz w:val="21"/>
                <w:szCs w:val="21"/>
              </w:rPr>
              <w:t>-</w:t>
            </w:r>
            <w:r>
              <w:rPr>
                <w:rFonts w:hint="default" w:ascii="Times New Roman" w:hAnsi="Times New Roman" w:cs="Times New Roman" w:eastAsiaTheme="majorEastAsia"/>
                <w:bCs/>
                <w:color w:val="auto"/>
                <w:sz w:val="21"/>
                <w:szCs w:val="21"/>
                <w:lang w:val="en-US" w:eastAsia="zh-CN"/>
              </w:rPr>
              <w:t>97</w:t>
            </w:r>
          </w:p>
        </w:tc>
        <w:tc>
          <w:tcPr>
            <w:tcW w:w="1395" w:type="dxa"/>
            <w:vAlign w:val="center"/>
          </w:tcPr>
          <w:p w14:paraId="5D5C2E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CSSCI来源期刊扩展版</w:t>
            </w:r>
            <w:r>
              <w:rPr>
                <w:rFonts w:hint="default" w:ascii="Times New Roman" w:hAnsi="Times New Roman" w:cs="Times New Roman" w:eastAsiaTheme="majorEastAsia"/>
                <w:bCs/>
                <w:color w:val="auto"/>
                <w:sz w:val="21"/>
                <w:szCs w:val="21"/>
                <w:lang w:eastAsia="zh-CN"/>
              </w:rPr>
              <w:t>，</w:t>
            </w:r>
            <w:r>
              <w:rPr>
                <w:rFonts w:hint="default" w:ascii="Times New Roman" w:hAnsi="Times New Roman" w:cs="Times New Roman" w:eastAsiaTheme="majorEastAsia"/>
                <w:bCs/>
                <w:color w:val="auto"/>
                <w:sz w:val="21"/>
                <w:szCs w:val="21"/>
                <w:lang w:val="en-US" w:eastAsia="zh-CN"/>
              </w:rPr>
              <w:t>被引14次，</w:t>
            </w:r>
            <w:r>
              <w:rPr>
                <w:rFonts w:hint="default" w:ascii="Times New Roman" w:hAnsi="Times New Roman" w:cs="Times New Roman" w:eastAsiaTheme="majorEastAsia"/>
                <w:bCs/>
                <w:color w:val="auto"/>
                <w:sz w:val="21"/>
                <w:szCs w:val="21"/>
              </w:rPr>
              <w:t>下载</w:t>
            </w:r>
            <w:r>
              <w:rPr>
                <w:rFonts w:hint="default" w:ascii="Times New Roman" w:hAnsi="Times New Roman" w:cs="Times New Roman" w:eastAsiaTheme="majorEastAsia"/>
                <w:bCs/>
                <w:color w:val="auto"/>
                <w:sz w:val="21"/>
                <w:szCs w:val="21"/>
                <w:lang w:val="en-US" w:eastAsia="zh-CN"/>
              </w:rPr>
              <w:t>1566</w:t>
            </w:r>
            <w:r>
              <w:rPr>
                <w:rFonts w:hint="default" w:ascii="Times New Roman" w:hAnsi="Times New Roman" w:cs="Times New Roman" w:eastAsiaTheme="majorEastAsia"/>
                <w:bCs/>
                <w:color w:val="auto"/>
                <w:sz w:val="21"/>
                <w:szCs w:val="21"/>
              </w:rPr>
              <w:t>次</w:t>
            </w:r>
          </w:p>
        </w:tc>
      </w:tr>
      <w:tr w14:paraId="77AC8F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617F6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11</w:t>
            </w:r>
          </w:p>
        </w:tc>
        <w:tc>
          <w:tcPr>
            <w:tcW w:w="1891" w:type="dxa"/>
            <w:vAlign w:val="center"/>
          </w:tcPr>
          <w:p w14:paraId="0F4AB2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Soil quality assessment via the factor analysis of karst rocky desertification areas in Hunan, China</w:t>
            </w:r>
          </w:p>
        </w:tc>
        <w:tc>
          <w:tcPr>
            <w:tcW w:w="1094" w:type="dxa"/>
            <w:vAlign w:val="center"/>
          </w:tcPr>
          <w:p w14:paraId="5AAC4E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邓艳林</w:t>
            </w:r>
          </w:p>
        </w:tc>
        <w:tc>
          <w:tcPr>
            <w:tcW w:w="1714" w:type="dxa"/>
            <w:vAlign w:val="center"/>
          </w:tcPr>
          <w:p w14:paraId="2538A5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SOIL USE AND MANAGEMENT</w:t>
            </w:r>
          </w:p>
        </w:tc>
        <w:tc>
          <w:tcPr>
            <w:tcW w:w="1915" w:type="dxa"/>
            <w:vAlign w:val="center"/>
          </w:tcPr>
          <w:p w14:paraId="7C8D6B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2021,38(01):1-14</w:t>
            </w:r>
          </w:p>
        </w:tc>
        <w:tc>
          <w:tcPr>
            <w:tcW w:w="1395" w:type="dxa"/>
            <w:vAlign w:val="center"/>
          </w:tcPr>
          <w:p w14:paraId="36924B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SCI三区</w:t>
            </w:r>
          </w:p>
        </w:tc>
      </w:tr>
      <w:tr w14:paraId="2577E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736E0D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12</w:t>
            </w:r>
          </w:p>
        </w:tc>
        <w:tc>
          <w:tcPr>
            <w:tcW w:w="1891" w:type="dxa"/>
            <w:vAlign w:val="center"/>
          </w:tcPr>
          <w:p w14:paraId="51DCA8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论政府对高校的行政层级监督机制</w:t>
            </w:r>
          </w:p>
        </w:tc>
        <w:tc>
          <w:tcPr>
            <w:tcW w:w="1094" w:type="dxa"/>
            <w:vAlign w:val="center"/>
          </w:tcPr>
          <w:p w14:paraId="5B772E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马世嫒</w:t>
            </w:r>
          </w:p>
        </w:tc>
        <w:tc>
          <w:tcPr>
            <w:tcW w:w="1714" w:type="dxa"/>
            <w:vAlign w:val="center"/>
          </w:tcPr>
          <w:p w14:paraId="7A8F4B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成都理工大学学报</w:t>
            </w:r>
          </w:p>
        </w:tc>
        <w:tc>
          <w:tcPr>
            <w:tcW w:w="1915" w:type="dxa"/>
            <w:vAlign w:val="center"/>
          </w:tcPr>
          <w:p w14:paraId="37CB2E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2021(05):82-91</w:t>
            </w:r>
          </w:p>
        </w:tc>
        <w:tc>
          <w:tcPr>
            <w:tcW w:w="1395" w:type="dxa"/>
            <w:vAlign w:val="center"/>
          </w:tcPr>
          <w:p w14:paraId="62AAEB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被引1次，下载263次</w:t>
            </w:r>
          </w:p>
        </w:tc>
      </w:tr>
      <w:tr w14:paraId="071944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545CFF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13</w:t>
            </w:r>
          </w:p>
        </w:tc>
        <w:tc>
          <w:tcPr>
            <w:tcW w:w="1891" w:type="dxa"/>
            <w:vAlign w:val="center"/>
          </w:tcPr>
          <w:p w14:paraId="237F2F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非破产情形下股东出资义务加速到期研究</w:t>
            </w:r>
          </w:p>
        </w:tc>
        <w:tc>
          <w:tcPr>
            <w:tcW w:w="1094" w:type="dxa"/>
            <w:vAlign w:val="center"/>
          </w:tcPr>
          <w:p w14:paraId="2A61E1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刘思婷，雷鑫（通讯作者）</w:t>
            </w:r>
          </w:p>
        </w:tc>
        <w:tc>
          <w:tcPr>
            <w:tcW w:w="1714" w:type="dxa"/>
            <w:vAlign w:val="center"/>
          </w:tcPr>
          <w:p w14:paraId="516B73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广西政法管理干部学院学报</w:t>
            </w:r>
          </w:p>
        </w:tc>
        <w:tc>
          <w:tcPr>
            <w:tcW w:w="1915" w:type="dxa"/>
            <w:vAlign w:val="center"/>
          </w:tcPr>
          <w:p w14:paraId="4A8571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2021(04):41-46</w:t>
            </w:r>
          </w:p>
        </w:tc>
        <w:tc>
          <w:tcPr>
            <w:tcW w:w="1395" w:type="dxa"/>
            <w:vAlign w:val="center"/>
          </w:tcPr>
          <w:p w14:paraId="38B447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被引1次，下载656次</w:t>
            </w:r>
          </w:p>
        </w:tc>
      </w:tr>
      <w:tr w14:paraId="4CD6E7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50D2FA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14</w:t>
            </w:r>
          </w:p>
        </w:tc>
        <w:tc>
          <w:tcPr>
            <w:tcW w:w="1891" w:type="dxa"/>
            <w:vAlign w:val="center"/>
          </w:tcPr>
          <w:p w14:paraId="6B689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强化综合协调完善湿地保护行政执法</w:t>
            </w:r>
          </w:p>
        </w:tc>
        <w:tc>
          <w:tcPr>
            <w:tcW w:w="1094" w:type="dxa"/>
            <w:vAlign w:val="center"/>
          </w:tcPr>
          <w:p w14:paraId="4AF859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1714" w:type="dxa"/>
            <w:vAlign w:val="center"/>
          </w:tcPr>
          <w:p w14:paraId="5F95E7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林业与生态</w:t>
            </w:r>
          </w:p>
        </w:tc>
        <w:tc>
          <w:tcPr>
            <w:tcW w:w="1915" w:type="dxa"/>
            <w:vAlign w:val="center"/>
          </w:tcPr>
          <w:p w14:paraId="38BFE2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2021(02):7-9</w:t>
            </w:r>
          </w:p>
        </w:tc>
        <w:tc>
          <w:tcPr>
            <w:tcW w:w="1395" w:type="dxa"/>
            <w:vAlign w:val="center"/>
          </w:tcPr>
          <w:p w14:paraId="58F9DE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被引2次，下载129次</w:t>
            </w:r>
          </w:p>
        </w:tc>
      </w:tr>
      <w:tr w14:paraId="5E8FB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5D451C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15</w:t>
            </w:r>
          </w:p>
        </w:tc>
        <w:tc>
          <w:tcPr>
            <w:tcW w:w="1891" w:type="dxa"/>
            <w:vAlign w:val="center"/>
          </w:tcPr>
          <w:p w14:paraId="693087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中办国办《关于全面推行林长制的意见》政策解读</w:t>
            </w:r>
          </w:p>
        </w:tc>
        <w:tc>
          <w:tcPr>
            <w:tcW w:w="1094" w:type="dxa"/>
            <w:vAlign w:val="center"/>
          </w:tcPr>
          <w:p w14:paraId="4903B9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1714" w:type="dxa"/>
            <w:vAlign w:val="center"/>
          </w:tcPr>
          <w:p w14:paraId="26B2A5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林业与生态</w:t>
            </w:r>
          </w:p>
        </w:tc>
        <w:tc>
          <w:tcPr>
            <w:tcW w:w="1915" w:type="dxa"/>
            <w:vAlign w:val="center"/>
          </w:tcPr>
          <w:p w14:paraId="1897B2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2021(04):39-41</w:t>
            </w:r>
          </w:p>
        </w:tc>
        <w:tc>
          <w:tcPr>
            <w:tcW w:w="1395" w:type="dxa"/>
            <w:vAlign w:val="center"/>
          </w:tcPr>
          <w:p w14:paraId="79EE0C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被引6次，下载609次</w:t>
            </w:r>
          </w:p>
        </w:tc>
      </w:tr>
      <w:tr w14:paraId="4FA86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1FEF87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16</w:t>
            </w:r>
          </w:p>
        </w:tc>
        <w:tc>
          <w:tcPr>
            <w:tcW w:w="1891" w:type="dxa"/>
            <w:vAlign w:val="center"/>
          </w:tcPr>
          <w:p w14:paraId="42608A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全球化进程中的野生动物管理理念和制度</w:t>
            </w:r>
          </w:p>
        </w:tc>
        <w:tc>
          <w:tcPr>
            <w:tcW w:w="1094" w:type="dxa"/>
            <w:vAlign w:val="center"/>
          </w:tcPr>
          <w:p w14:paraId="78225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周训芳</w:t>
            </w:r>
          </w:p>
        </w:tc>
        <w:tc>
          <w:tcPr>
            <w:tcW w:w="1714" w:type="dxa"/>
            <w:vAlign w:val="center"/>
          </w:tcPr>
          <w:p w14:paraId="1DCA92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野生动物学报</w:t>
            </w:r>
          </w:p>
        </w:tc>
        <w:tc>
          <w:tcPr>
            <w:tcW w:w="1915" w:type="dxa"/>
            <w:vAlign w:val="center"/>
          </w:tcPr>
          <w:p w14:paraId="1A4EF8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2021(04:1231-1237</w:t>
            </w:r>
          </w:p>
        </w:tc>
        <w:tc>
          <w:tcPr>
            <w:tcW w:w="1395" w:type="dxa"/>
            <w:vAlign w:val="center"/>
          </w:tcPr>
          <w:p w14:paraId="1B18D2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北大核心，被下载305次</w:t>
            </w:r>
          </w:p>
        </w:tc>
      </w:tr>
      <w:tr w14:paraId="4F79B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2D7A18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17</w:t>
            </w:r>
          </w:p>
        </w:tc>
        <w:tc>
          <w:tcPr>
            <w:tcW w:w="1891" w:type="dxa"/>
            <w:vAlign w:val="center"/>
          </w:tcPr>
          <w:p w14:paraId="1FED3B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大学生党员队伍建设“五结合”路径探究</w:t>
            </w:r>
          </w:p>
        </w:tc>
        <w:tc>
          <w:tcPr>
            <w:tcW w:w="1094" w:type="dxa"/>
            <w:vAlign w:val="center"/>
          </w:tcPr>
          <w:p w14:paraId="5BD4C8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曾晓峰</w:t>
            </w:r>
          </w:p>
        </w:tc>
        <w:tc>
          <w:tcPr>
            <w:tcW w:w="1714" w:type="dxa"/>
            <w:vAlign w:val="center"/>
          </w:tcPr>
          <w:p w14:paraId="0BD819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湖南大众传媒职业技术学院学报</w:t>
            </w:r>
          </w:p>
        </w:tc>
        <w:tc>
          <w:tcPr>
            <w:tcW w:w="1915" w:type="dxa"/>
            <w:vAlign w:val="center"/>
          </w:tcPr>
          <w:p w14:paraId="78A74C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2021(04):69-72</w:t>
            </w:r>
          </w:p>
        </w:tc>
        <w:tc>
          <w:tcPr>
            <w:tcW w:w="1395" w:type="dxa"/>
            <w:vAlign w:val="center"/>
          </w:tcPr>
          <w:p w14:paraId="2CD79A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被引1次下载208次</w:t>
            </w:r>
          </w:p>
        </w:tc>
      </w:tr>
      <w:tr w14:paraId="791CC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7D73F9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18</w:t>
            </w:r>
          </w:p>
        </w:tc>
        <w:tc>
          <w:tcPr>
            <w:tcW w:w="1891" w:type="dxa"/>
            <w:vAlign w:val="center"/>
          </w:tcPr>
          <w:p w14:paraId="72A522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我国民法典视野下商事留置权的评述与适用</w:t>
            </w:r>
          </w:p>
        </w:tc>
        <w:tc>
          <w:tcPr>
            <w:tcW w:w="1094" w:type="dxa"/>
            <w:vAlign w:val="center"/>
          </w:tcPr>
          <w:p w14:paraId="07FE4B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尹嘉祥，雷鑫（通讯作者）</w:t>
            </w:r>
          </w:p>
        </w:tc>
        <w:tc>
          <w:tcPr>
            <w:tcW w:w="1714" w:type="dxa"/>
            <w:vAlign w:val="center"/>
          </w:tcPr>
          <w:p w14:paraId="3BEEFA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湖南财政经济学院学报</w:t>
            </w:r>
          </w:p>
        </w:tc>
        <w:tc>
          <w:tcPr>
            <w:tcW w:w="1915" w:type="dxa"/>
            <w:vAlign w:val="center"/>
          </w:tcPr>
          <w:p w14:paraId="75AA89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2021(03):92-99</w:t>
            </w:r>
          </w:p>
        </w:tc>
        <w:tc>
          <w:tcPr>
            <w:tcW w:w="1395" w:type="dxa"/>
            <w:vAlign w:val="center"/>
          </w:tcPr>
          <w:p w14:paraId="357ACC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被引5次，下载910次</w:t>
            </w:r>
          </w:p>
        </w:tc>
      </w:tr>
      <w:tr w14:paraId="48086D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244A73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19</w:t>
            </w:r>
          </w:p>
        </w:tc>
        <w:tc>
          <w:tcPr>
            <w:tcW w:w="1891" w:type="dxa"/>
            <w:vAlign w:val="center"/>
          </w:tcPr>
          <w:p w14:paraId="5AA801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论我国《民法典》视野下情事变更制度的完善</w:t>
            </w:r>
          </w:p>
        </w:tc>
        <w:tc>
          <w:tcPr>
            <w:tcW w:w="1094" w:type="dxa"/>
            <w:vAlign w:val="center"/>
          </w:tcPr>
          <w:p w14:paraId="766050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尹嘉祥，雷鑫（通讯作者）</w:t>
            </w:r>
          </w:p>
        </w:tc>
        <w:tc>
          <w:tcPr>
            <w:tcW w:w="1714" w:type="dxa"/>
            <w:vAlign w:val="center"/>
          </w:tcPr>
          <w:p w14:paraId="789905D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湖南人文科技学院学报</w:t>
            </w:r>
          </w:p>
        </w:tc>
        <w:tc>
          <w:tcPr>
            <w:tcW w:w="1915" w:type="dxa"/>
            <w:vAlign w:val="center"/>
          </w:tcPr>
          <w:p w14:paraId="03F80F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2021(03):18-23</w:t>
            </w:r>
          </w:p>
        </w:tc>
        <w:tc>
          <w:tcPr>
            <w:tcW w:w="1395" w:type="dxa"/>
            <w:vAlign w:val="center"/>
          </w:tcPr>
          <w:p w14:paraId="4DD97E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被引5次，下载1092次</w:t>
            </w:r>
          </w:p>
        </w:tc>
      </w:tr>
      <w:tr w14:paraId="1329A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3686C7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w:t>
            </w:r>
          </w:p>
        </w:tc>
        <w:tc>
          <w:tcPr>
            <w:tcW w:w="1891" w:type="dxa"/>
            <w:vAlign w:val="center"/>
          </w:tcPr>
          <w:p w14:paraId="60BFA3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我国民法典中不可抗力规则的评述与适用</w:t>
            </w:r>
          </w:p>
        </w:tc>
        <w:tc>
          <w:tcPr>
            <w:tcW w:w="1094" w:type="dxa"/>
            <w:vAlign w:val="center"/>
          </w:tcPr>
          <w:p w14:paraId="52CA81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尹嘉祥，雷鑫（通讯作者）</w:t>
            </w:r>
          </w:p>
        </w:tc>
        <w:tc>
          <w:tcPr>
            <w:tcW w:w="1714" w:type="dxa"/>
            <w:vAlign w:val="center"/>
          </w:tcPr>
          <w:p w14:paraId="591B60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邵阳学院学报（社会科学版）</w:t>
            </w:r>
          </w:p>
        </w:tc>
        <w:tc>
          <w:tcPr>
            <w:tcW w:w="1915" w:type="dxa"/>
            <w:vAlign w:val="center"/>
          </w:tcPr>
          <w:p w14:paraId="2102D2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2021(03):34-40</w:t>
            </w:r>
          </w:p>
        </w:tc>
        <w:tc>
          <w:tcPr>
            <w:tcW w:w="1395" w:type="dxa"/>
            <w:vAlign w:val="center"/>
          </w:tcPr>
          <w:p w14:paraId="172F5E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被引5次，下载678次</w:t>
            </w:r>
          </w:p>
        </w:tc>
      </w:tr>
      <w:tr w14:paraId="65A8A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9" w:type="dxa"/>
            <w:vAlign w:val="center"/>
          </w:tcPr>
          <w:p w14:paraId="739133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21</w:t>
            </w:r>
          </w:p>
        </w:tc>
        <w:tc>
          <w:tcPr>
            <w:tcW w:w="1891" w:type="dxa"/>
            <w:vAlign w:val="center"/>
          </w:tcPr>
          <w:p w14:paraId="3356BC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区块链对法律的挑战</w:t>
            </w:r>
          </w:p>
        </w:tc>
        <w:tc>
          <w:tcPr>
            <w:tcW w:w="1094" w:type="dxa"/>
            <w:vAlign w:val="center"/>
          </w:tcPr>
          <w:p w14:paraId="2D10C7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李剑（译）</w:t>
            </w:r>
          </w:p>
        </w:tc>
        <w:tc>
          <w:tcPr>
            <w:tcW w:w="1714" w:type="dxa"/>
            <w:vAlign w:val="center"/>
          </w:tcPr>
          <w:p w14:paraId="7F2A19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燕大法学教室</w:t>
            </w:r>
          </w:p>
        </w:tc>
        <w:tc>
          <w:tcPr>
            <w:tcW w:w="1915" w:type="dxa"/>
            <w:vAlign w:val="center"/>
          </w:tcPr>
          <w:p w14:paraId="67F8DA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2021(04)）</w:t>
            </w:r>
          </w:p>
        </w:tc>
        <w:tc>
          <w:tcPr>
            <w:tcW w:w="1395" w:type="dxa"/>
            <w:vAlign w:val="center"/>
          </w:tcPr>
          <w:p w14:paraId="2017FA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译文</w:t>
            </w:r>
          </w:p>
        </w:tc>
      </w:tr>
    </w:tbl>
    <w:p w14:paraId="0B3CD9A6">
      <w:pPr>
        <w:keepNext w:val="0"/>
        <w:keepLines w:val="0"/>
        <w:pageBreakBefore w:val="0"/>
        <w:kinsoku/>
        <w:wordWrap/>
        <w:overflowPunct/>
        <w:topLinePunct w:val="0"/>
        <w:autoSpaceDE w:val="0"/>
        <w:autoSpaceDN w:val="0"/>
        <w:bidi w:val="0"/>
        <w:adjustRightInd w:val="0"/>
        <w:spacing w:line="360" w:lineRule="exact"/>
        <w:ind w:left="0" w:leftChars="0" w:right="0" w:rightChars="0" w:firstLine="0" w:firstLineChars="0"/>
        <w:jc w:val="left"/>
        <w:rPr>
          <w:rFonts w:hint="default" w:ascii="Times New Roman" w:hAnsi="Times New Roman" w:eastAsia="STFangsong" w:cs="Times New Roman"/>
          <w:color w:val="auto"/>
          <w:szCs w:val="21"/>
        </w:rPr>
      </w:pPr>
    </w:p>
    <w:p w14:paraId="5FFE41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科研项目情况</w:t>
      </w:r>
    </w:p>
    <w:p w14:paraId="5360DE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表10  科研项目情况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892"/>
        <w:gridCol w:w="646"/>
        <w:gridCol w:w="1427"/>
        <w:gridCol w:w="909"/>
        <w:gridCol w:w="753"/>
        <w:gridCol w:w="774"/>
        <w:gridCol w:w="1200"/>
        <w:gridCol w:w="719"/>
        <w:gridCol w:w="687"/>
      </w:tblGrid>
      <w:tr w14:paraId="4D4A01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531" w:type="dxa"/>
            <w:vAlign w:val="center"/>
          </w:tcPr>
          <w:p w14:paraId="4C183F3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892" w:type="dxa"/>
            <w:vAlign w:val="center"/>
          </w:tcPr>
          <w:p w14:paraId="0256EED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4EA2291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来源</w:t>
            </w:r>
          </w:p>
        </w:tc>
        <w:tc>
          <w:tcPr>
            <w:tcW w:w="646" w:type="dxa"/>
            <w:vAlign w:val="center"/>
          </w:tcPr>
          <w:p w14:paraId="1DB437B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3F74C09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类型</w:t>
            </w:r>
          </w:p>
        </w:tc>
        <w:tc>
          <w:tcPr>
            <w:tcW w:w="1427" w:type="dxa"/>
            <w:vAlign w:val="center"/>
          </w:tcPr>
          <w:p w14:paraId="6B7D07B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项目（课题）名称</w:t>
            </w:r>
          </w:p>
        </w:tc>
        <w:tc>
          <w:tcPr>
            <w:tcW w:w="909" w:type="dxa"/>
            <w:vAlign w:val="center"/>
          </w:tcPr>
          <w:p w14:paraId="5E60EF2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项目</w:t>
            </w:r>
          </w:p>
          <w:p w14:paraId="4BB8069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编号</w:t>
            </w:r>
          </w:p>
        </w:tc>
        <w:tc>
          <w:tcPr>
            <w:tcW w:w="753" w:type="dxa"/>
            <w:vAlign w:val="center"/>
          </w:tcPr>
          <w:p w14:paraId="0794395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负责人</w:t>
            </w:r>
          </w:p>
        </w:tc>
        <w:tc>
          <w:tcPr>
            <w:tcW w:w="774" w:type="dxa"/>
            <w:vAlign w:val="center"/>
          </w:tcPr>
          <w:p w14:paraId="499EFA9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立项</w:t>
            </w:r>
          </w:p>
          <w:p w14:paraId="1706E52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200" w:type="dxa"/>
            <w:vAlign w:val="center"/>
          </w:tcPr>
          <w:p w14:paraId="0C0D62A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起讫</w:t>
            </w:r>
          </w:p>
          <w:p w14:paraId="05FE04F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719" w:type="dxa"/>
            <w:vAlign w:val="center"/>
          </w:tcPr>
          <w:p w14:paraId="2889ACF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合同</w:t>
            </w:r>
          </w:p>
          <w:p w14:paraId="0503A10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经费</w:t>
            </w:r>
          </w:p>
        </w:tc>
        <w:tc>
          <w:tcPr>
            <w:tcW w:w="687" w:type="dxa"/>
            <w:vAlign w:val="center"/>
          </w:tcPr>
          <w:p w14:paraId="77308E6B">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到账</w:t>
            </w:r>
          </w:p>
          <w:p w14:paraId="06EA92D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经费</w:t>
            </w:r>
          </w:p>
        </w:tc>
      </w:tr>
      <w:tr w14:paraId="6953E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47E64B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892" w:type="dxa"/>
            <w:vAlign w:val="center"/>
          </w:tcPr>
          <w:p w14:paraId="36AC1A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国家社科基金项目</w:t>
            </w:r>
          </w:p>
        </w:tc>
        <w:tc>
          <w:tcPr>
            <w:tcW w:w="646" w:type="dxa"/>
            <w:vAlign w:val="center"/>
          </w:tcPr>
          <w:p w14:paraId="687656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一般项目</w:t>
            </w:r>
          </w:p>
        </w:tc>
        <w:tc>
          <w:tcPr>
            <w:tcW w:w="1427" w:type="dxa"/>
            <w:vAlign w:val="center"/>
          </w:tcPr>
          <w:p w14:paraId="4693A3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基因安全风险规制的法律问题研究</w:t>
            </w:r>
          </w:p>
        </w:tc>
        <w:tc>
          <w:tcPr>
            <w:tcW w:w="909" w:type="dxa"/>
            <w:vAlign w:val="center"/>
          </w:tcPr>
          <w:p w14:paraId="640B19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21BFX044</w:t>
            </w:r>
          </w:p>
        </w:tc>
        <w:tc>
          <w:tcPr>
            <w:tcW w:w="753" w:type="dxa"/>
            <w:vAlign w:val="center"/>
          </w:tcPr>
          <w:p w14:paraId="48B3E6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张小罗</w:t>
            </w:r>
          </w:p>
        </w:tc>
        <w:tc>
          <w:tcPr>
            <w:tcW w:w="774" w:type="dxa"/>
            <w:vAlign w:val="center"/>
          </w:tcPr>
          <w:p w14:paraId="7FE586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2A9606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20210924</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20241231</w:t>
            </w:r>
          </w:p>
        </w:tc>
        <w:tc>
          <w:tcPr>
            <w:tcW w:w="719" w:type="dxa"/>
            <w:vAlign w:val="center"/>
          </w:tcPr>
          <w:p w14:paraId="1FE070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w:t>
            </w:r>
          </w:p>
        </w:tc>
        <w:tc>
          <w:tcPr>
            <w:tcW w:w="687" w:type="dxa"/>
            <w:vAlign w:val="center"/>
          </w:tcPr>
          <w:p w14:paraId="32B7BBB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17</w:t>
            </w:r>
          </w:p>
        </w:tc>
      </w:tr>
      <w:tr w14:paraId="5C92DA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4E408A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w:t>
            </w:r>
          </w:p>
        </w:tc>
        <w:tc>
          <w:tcPr>
            <w:tcW w:w="892" w:type="dxa"/>
            <w:vAlign w:val="center"/>
          </w:tcPr>
          <w:p w14:paraId="56FD16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湖南省教育厅</w:t>
            </w:r>
          </w:p>
        </w:tc>
        <w:tc>
          <w:tcPr>
            <w:tcW w:w="646" w:type="dxa"/>
            <w:vAlign w:val="center"/>
          </w:tcPr>
          <w:p w14:paraId="4C5208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一般</w:t>
            </w:r>
            <w:r>
              <w:rPr>
                <w:rFonts w:hint="default" w:ascii="Times New Roman" w:hAnsi="Times New Roman" w:cs="Times New Roman" w:eastAsiaTheme="majorEastAsia"/>
                <w:bCs/>
                <w:color w:val="auto"/>
                <w:sz w:val="21"/>
                <w:szCs w:val="21"/>
                <w:lang w:val="en-US" w:eastAsia="zh-CN"/>
              </w:rPr>
              <w:t>课题</w:t>
            </w:r>
          </w:p>
        </w:tc>
        <w:tc>
          <w:tcPr>
            <w:tcW w:w="1427" w:type="dxa"/>
            <w:vAlign w:val="center"/>
          </w:tcPr>
          <w:p w14:paraId="318146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大数据影响下的研究生法学教育转型研究</w:t>
            </w:r>
          </w:p>
        </w:tc>
        <w:tc>
          <w:tcPr>
            <w:tcW w:w="909" w:type="dxa"/>
            <w:vAlign w:val="center"/>
          </w:tcPr>
          <w:p w14:paraId="275441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2021JGYB111</w:t>
            </w:r>
          </w:p>
        </w:tc>
        <w:tc>
          <w:tcPr>
            <w:tcW w:w="753" w:type="dxa"/>
            <w:vAlign w:val="center"/>
          </w:tcPr>
          <w:p w14:paraId="581E0E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阳永恒</w:t>
            </w:r>
          </w:p>
        </w:tc>
        <w:tc>
          <w:tcPr>
            <w:tcW w:w="774" w:type="dxa"/>
            <w:vAlign w:val="center"/>
          </w:tcPr>
          <w:p w14:paraId="4EF0C3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43C30AD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20210930</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20230930</w:t>
            </w:r>
          </w:p>
        </w:tc>
        <w:tc>
          <w:tcPr>
            <w:tcW w:w="719" w:type="dxa"/>
            <w:vAlign w:val="center"/>
          </w:tcPr>
          <w:p w14:paraId="4014AB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687" w:type="dxa"/>
            <w:vAlign w:val="center"/>
          </w:tcPr>
          <w:p w14:paraId="37DC4E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0</w:t>
            </w:r>
          </w:p>
        </w:tc>
      </w:tr>
      <w:tr w14:paraId="7510A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05D79E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3</w:t>
            </w:r>
          </w:p>
        </w:tc>
        <w:tc>
          <w:tcPr>
            <w:tcW w:w="892" w:type="dxa"/>
            <w:vAlign w:val="center"/>
          </w:tcPr>
          <w:p w14:paraId="38BD1B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中共湖南省教育工作委员会</w:t>
            </w:r>
          </w:p>
        </w:tc>
        <w:tc>
          <w:tcPr>
            <w:tcW w:w="646" w:type="dxa"/>
            <w:vAlign w:val="center"/>
          </w:tcPr>
          <w:p w14:paraId="0313D6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辅导员骨干专项</w:t>
            </w:r>
          </w:p>
        </w:tc>
        <w:tc>
          <w:tcPr>
            <w:tcW w:w="1427" w:type="dxa"/>
            <w:vAlign w:val="center"/>
          </w:tcPr>
          <w:p w14:paraId="4840D9A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新时代大学生劳动教育的思想政治教育功能研究</w:t>
            </w:r>
          </w:p>
        </w:tc>
        <w:tc>
          <w:tcPr>
            <w:tcW w:w="909" w:type="dxa"/>
            <w:vAlign w:val="center"/>
          </w:tcPr>
          <w:p w14:paraId="594258A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21F10</w:t>
            </w:r>
          </w:p>
        </w:tc>
        <w:tc>
          <w:tcPr>
            <w:tcW w:w="753" w:type="dxa"/>
            <w:vAlign w:val="center"/>
          </w:tcPr>
          <w:p w14:paraId="238F08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曾晓峰</w:t>
            </w:r>
          </w:p>
        </w:tc>
        <w:tc>
          <w:tcPr>
            <w:tcW w:w="774" w:type="dxa"/>
            <w:vAlign w:val="center"/>
          </w:tcPr>
          <w:p w14:paraId="089C99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609B8D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20210813</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20230930</w:t>
            </w:r>
          </w:p>
        </w:tc>
        <w:tc>
          <w:tcPr>
            <w:tcW w:w="719" w:type="dxa"/>
            <w:vAlign w:val="center"/>
          </w:tcPr>
          <w:p w14:paraId="008938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2</w:t>
            </w:r>
          </w:p>
        </w:tc>
        <w:tc>
          <w:tcPr>
            <w:tcW w:w="687" w:type="dxa"/>
            <w:vAlign w:val="center"/>
          </w:tcPr>
          <w:p w14:paraId="205302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2</w:t>
            </w:r>
          </w:p>
        </w:tc>
      </w:tr>
      <w:tr w14:paraId="49DA53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56D7CC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4</w:t>
            </w:r>
          </w:p>
        </w:tc>
        <w:tc>
          <w:tcPr>
            <w:tcW w:w="892" w:type="dxa"/>
            <w:vAlign w:val="center"/>
          </w:tcPr>
          <w:p w14:paraId="2DC29A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湖南省教育科学规划办</w:t>
            </w:r>
          </w:p>
        </w:tc>
        <w:tc>
          <w:tcPr>
            <w:tcW w:w="646" w:type="dxa"/>
            <w:vAlign w:val="center"/>
          </w:tcPr>
          <w:p w14:paraId="3A8FF3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一般资助课题</w:t>
            </w:r>
          </w:p>
        </w:tc>
        <w:tc>
          <w:tcPr>
            <w:tcW w:w="1427" w:type="dxa"/>
            <w:vAlign w:val="center"/>
          </w:tcPr>
          <w:p w14:paraId="36C609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高校课程思政与思政课程协同育人机制研究</w:t>
            </w:r>
          </w:p>
        </w:tc>
        <w:tc>
          <w:tcPr>
            <w:tcW w:w="909" w:type="dxa"/>
            <w:vAlign w:val="center"/>
          </w:tcPr>
          <w:p w14:paraId="6170A9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XJK21BGD005</w:t>
            </w:r>
          </w:p>
        </w:tc>
        <w:tc>
          <w:tcPr>
            <w:tcW w:w="753" w:type="dxa"/>
            <w:vAlign w:val="center"/>
          </w:tcPr>
          <w:p w14:paraId="54C036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黎敏</w:t>
            </w:r>
          </w:p>
        </w:tc>
        <w:tc>
          <w:tcPr>
            <w:tcW w:w="774" w:type="dxa"/>
            <w:vAlign w:val="center"/>
          </w:tcPr>
          <w:p w14:paraId="12D489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1E513A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20210624</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20240530</w:t>
            </w:r>
          </w:p>
        </w:tc>
        <w:tc>
          <w:tcPr>
            <w:tcW w:w="719" w:type="dxa"/>
            <w:vAlign w:val="center"/>
          </w:tcPr>
          <w:p w14:paraId="05BFC1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w:t>
            </w:r>
          </w:p>
        </w:tc>
        <w:tc>
          <w:tcPr>
            <w:tcW w:w="687" w:type="dxa"/>
            <w:vAlign w:val="center"/>
          </w:tcPr>
          <w:p w14:paraId="3C246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1</w:t>
            </w:r>
          </w:p>
        </w:tc>
      </w:tr>
      <w:tr w14:paraId="67E02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5C23C6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5</w:t>
            </w:r>
          </w:p>
        </w:tc>
        <w:tc>
          <w:tcPr>
            <w:tcW w:w="892" w:type="dxa"/>
            <w:vAlign w:val="center"/>
          </w:tcPr>
          <w:p w14:paraId="69B0AE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湖南省林业局</w:t>
            </w:r>
          </w:p>
        </w:tc>
        <w:tc>
          <w:tcPr>
            <w:tcW w:w="646" w:type="dxa"/>
            <w:vAlign w:val="center"/>
          </w:tcPr>
          <w:p w14:paraId="7640DD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委托项目</w:t>
            </w:r>
          </w:p>
        </w:tc>
        <w:tc>
          <w:tcPr>
            <w:tcW w:w="1427" w:type="dxa"/>
            <w:vAlign w:val="center"/>
          </w:tcPr>
          <w:p w14:paraId="1840E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破坏野生动物资源违法与犯罪行为的科学界分</w:t>
            </w:r>
          </w:p>
        </w:tc>
        <w:tc>
          <w:tcPr>
            <w:tcW w:w="909" w:type="dxa"/>
            <w:vAlign w:val="center"/>
          </w:tcPr>
          <w:p w14:paraId="4B6E85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 w:val="0"/>
                <w:bCs/>
                <w:color w:val="auto"/>
                <w:kern w:val="2"/>
                <w:sz w:val="21"/>
                <w:szCs w:val="21"/>
                <w:lang w:val="en-US" w:eastAsia="zh-CN" w:bidi="ar-SA"/>
              </w:rPr>
              <w:t>/</w:t>
            </w:r>
          </w:p>
        </w:tc>
        <w:tc>
          <w:tcPr>
            <w:tcW w:w="753" w:type="dxa"/>
            <w:vAlign w:val="center"/>
          </w:tcPr>
          <w:p w14:paraId="7EA256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蒋兰香</w:t>
            </w:r>
          </w:p>
        </w:tc>
        <w:tc>
          <w:tcPr>
            <w:tcW w:w="774" w:type="dxa"/>
            <w:vAlign w:val="center"/>
          </w:tcPr>
          <w:p w14:paraId="6CCE96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6AA505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20210331</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20241231</w:t>
            </w:r>
          </w:p>
        </w:tc>
        <w:tc>
          <w:tcPr>
            <w:tcW w:w="719" w:type="dxa"/>
            <w:vAlign w:val="center"/>
          </w:tcPr>
          <w:p w14:paraId="0FF6C2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c>
          <w:tcPr>
            <w:tcW w:w="687" w:type="dxa"/>
            <w:vAlign w:val="center"/>
          </w:tcPr>
          <w:p w14:paraId="20ACF5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10</w:t>
            </w:r>
          </w:p>
        </w:tc>
      </w:tr>
      <w:tr w14:paraId="1B76CA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5463DF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6</w:t>
            </w:r>
          </w:p>
        </w:tc>
        <w:tc>
          <w:tcPr>
            <w:tcW w:w="892" w:type="dxa"/>
            <w:vAlign w:val="center"/>
          </w:tcPr>
          <w:p w14:paraId="5AF15F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湖南省社会科学评审委员会</w:t>
            </w:r>
          </w:p>
        </w:tc>
        <w:tc>
          <w:tcPr>
            <w:tcW w:w="646" w:type="dxa"/>
            <w:vAlign w:val="center"/>
          </w:tcPr>
          <w:p w14:paraId="68109A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一般自筹</w:t>
            </w:r>
          </w:p>
        </w:tc>
        <w:tc>
          <w:tcPr>
            <w:tcW w:w="1427" w:type="dxa"/>
            <w:vAlign w:val="center"/>
          </w:tcPr>
          <w:p w14:paraId="664F09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智能治理的伦理风险及其防控研究</w:t>
            </w:r>
          </w:p>
        </w:tc>
        <w:tc>
          <w:tcPr>
            <w:tcW w:w="909" w:type="dxa"/>
            <w:vAlign w:val="center"/>
          </w:tcPr>
          <w:p w14:paraId="52632D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XSP22YBC226</w:t>
            </w:r>
          </w:p>
        </w:tc>
        <w:tc>
          <w:tcPr>
            <w:tcW w:w="753" w:type="dxa"/>
            <w:vAlign w:val="center"/>
          </w:tcPr>
          <w:p w14:paraId="71A7AC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杨建武</w:t>
            </w:r>
          </w:p>
        </w:tc>
        <w:tc>
          <w:tcPr>
            <w:tcW w:w="774" w:type="dxa"/>
            <w:vAlign w:val="center"/>
          </w:tcPr>
          <w:p w14:paraId="1BE430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p>
        </w:tc>
        <w:tc>
          <w:tcPr>
            <w:tcW w:w="1200" w:type="dxa"/>
            <w:vAlign w:val="center"/>
          </w:tcPr>
          <w:p w14:paraId="626361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11222-</w:t>
            </w:r>
            <w:r>
              <w:rPr>
                <w:rFonts w:hint="default" w:ascii="Times New Roman" w:hAnsi="Times New Roman" w:cs="Times New Roman" w:eastAsiaTheme="majorEastAsia"/>
                <w:bCs/>
                <w:color w:val="auto"/>
                <w:sz w:val="21"/>
                <w:szCs w:val="21"/>
              </w:rPr>
              <w:t>20231231</w:t>
            </w:r>
          </w:p>
        </w:tc>
        <w:tc>
          <w:tcPr>
            <w:tcW w:w="719" w:type="dxa"/>
            <w:vAlign w:val="center"/>
          </w:tcPr>
          <w:p w14:paraId="49449D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0</w:t>
            </w:r>
          </w:p>
        </w:tc>
        <w:tc>
          <w:tcPr>
            <w:tcW w:w="687" w:type="dxa"/>
            <w:vAlign w:val="center"/>
          </w:tcPr>
          <w:p w14:paraId="1C43D8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0</w:t>
            </w:r>
          </w:p>
        </w:tc>
      </w:tr>
      <w:tr w14:paraId="59962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52ED0D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7</w:t>
            </w:r>
          </w:p>
        </w:tc>
        <w:tc>
          <w:tcPr>
            <w:tcW w:w="892" w:type="dxa"/>
            <w:vAlign w:val="center"/>
          </w:tcPr>
          <w:p w14:paraId="44D9DC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湖南省教育厅</w:t>
            </w:r>
          </w:p>
        </w:tc>
        <w:tc>
          <w:tcPr>
            <w:tcW w:w="646" w:type="dxa"/>
            <w:vAlign w:val="center"/>
          </w:tcPr>
          <w:p w14:paraId="443EC2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优秀青年项目</w:t>
            </w:r>
          </w:p>
        </w:tc>
        <w:tc>
          <w:tcPr>
            <w:tcW w:w="1427" w:type="dxa"/>
            <w:vAlign w:val="center"/>
          </w:tcPr>
          <w:p w14:paraId="5C0667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算法推荐对政治认同的消极影响及其防控研究</w:t>
            </w:r>
          </w:p>
        </w:tc>
        <w:tc>
          <w:tcPr>
            <w:tcW w:w="909" w:type="dxa"/>
            <w:vAlign w:val="center"/>
          </w:tcPr>
          <w:p w14:paraId="1865A4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21B0268</w:t>
            </w:r>
          </w:p>
        </w:tc>
        <w:tc>
          <w:tcPr>
            <w:tcW w:w="753" w:type="dxa"/>
            <w:vAlign w:val="center"/>
          </w:tcPr>
          <w:p w14:paraId="66AC7B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杨建武</w:t>
            </w:r>
          </w:p>
        </w:tc>
        <w:tc>
          <w:tcPr>
            <w:tcW w:w="774" w:type="dxa"/>
            <w:vAlign w:val="center"/>
          </w:tcPr>
          <w:p w14:paraId="672A10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0ADEB3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20211215</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20241231</w:t>
            </w:r>
          </w:p>
        </w:tc>
        <w:tc>
          <w:tcPr>
            <w:tcW w:w="719" w:type="dxa"/>
            <w:vAlign w:val="center"/>
          </w:tcPr>
          <w:p w14:paraId="489005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4</w:t>
            </w:r>
          </w:p>
        </w:tc>
        <w:tc>
          <w:tcPr>
            <w:tcW w:w="687" w:type="dxa"/>
            <w:vAlign w:val="center"/>
          </w:tcPr>
          <w:p w14:paraId="7C9EFF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6D757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6BC12F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8</w:t>
            </w:r>
          </w:p>
        </w:tc>
        <w:tc>
          <w:tcPr>
            <w:tcW w:w="892" w:type="dxa"/>
            <w:vAlign w:val="center"/>
          </w:tcPr>
          <w:p w14:paraId="77CEFF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湖南省教育厅</w:t>
            </w:r>
          </w:p>
        </w:tc>
        <w:tc>
          <w:tcPr>
            <w:tcW w:w="646" w:type="dxa"/>
            <w:vAlign w:val="center"/>
          </w:tcPr>
          <w:p w14:paraId="28A28D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重点项目</w:t>
            </w:r>
          </w:p>
        </w:tc>
        <w:tc>
          <w:tcPr>
            <w:tcW w:w="1427" w:type="dxa"/>
            <w:vAlign w:val="center"/>
          </w:tcPr>
          <w:p w14:paraId="0F8E74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市域治理视角下基层司法所的价值定位与发展路径研究</w:t>
            </w:r>
          </w:p>
        </w:tc>
        <w:tc>
          <w:tcPr>
            <w:tcW w:w="909" w:type="dxa"/>
            <w:vAlign w:val="center"/>
          </w:tcPr>
          <w:p w14:paraId="6C701A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21A0155</w:t>
            </w:r>
          </w:p>
        </w:tc>
        <w:tc>
          <w:tcPr>
            <w:tcW w:w="753" w:type="dxa"/>
            <w:vAlign w:val="center"/>
          </w:tcPr>
          <w:p w14:paraId="3DF48F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黄娟</w:t>
            </w:r>
          </w:p>
        </w:tc>
        <w:tc>
          <w:tcPr>
            <w:tcW w:w="774" w:type="dxa"/>
            <w:vAlign w:val="center"/>
          </w:tcPr>
          <w:p w14:paraId="760E0B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2A8477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20211215</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20241231</w:t>
            </w:r>
          </w:p>
        </w:tc>
        <w:tc>
          <w:tcPr>
            <w:tcW w:w="719" w:type="dxa"/>
            <w:vAlign w:val="center"/>
          </w:tcPr>
          <w:p w14:paraId="316404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6</w:t>
            </w:r>
          </w:p>
        </w:tc>
        <w:tc>
          <w:tcPr>
            <w:tcW w:w="687" w:type="dxa"/>
            <w:vAlign w:val="center"/>
          </w:tcPr>
          <w:p w14:paraId="18BB83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r w14:paraId="5F5AF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1" w:type="dxa"/>
            <w:vAlign w:val="center"/>
          </w:tcPr>
          <w:p w14:paraId="33316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9</w:t>
            </w:r>
          </w:p>
        </w:tc>
        <w:tc>
          <w:tcPr>
            <w:tcW w:w="892" w:type="dxa"/>
            <w:vAlign w:val="center"/>
          </w:tcPr>
          <w:p w14:paraId="0161C6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湖南省教育厅</w:t>
            </w:r>
          </w:p>
        </w:tc>
        <w:tc>
          <w:tcPr>
            <w:tcW w:w="646" w:type="dxa"/>
            <w:vAlign w:val="center"/>
          </w:tcPr>
          <w:p w14:paraId="6C8997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优秀青年项目</w:t>
            </w:r>
          </w:p>
        </w:tc>
        <w:tc>
          <w:tcPr>
            <w:tcW w:w="1427" w:type="dxa"/>
            <w:vAlign w:val="center"/>
          </w:tcPr>
          <w:p w14:paraId="2ABA7E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人工智能安全性保障的法理基础与法律风险规制研究</w:t>
            </w:r>
          </w:p>
        </w:tc>
        <w:tc>
          <w:tcPr>
            <w:tcW w:w="909" w:type="dxa"/>
            <w:vAlign w:val="center"/>
          </w:tcPr>
          <w:p w14:paraId="504E7E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21B0236</w:t>
            </w:r>
          </w:p>
        </w:tc>
        <w:tc>
          <w:tcPr>
            <w:tcW w:w="753" w:type="dxa"/>
            <w:vAlign w:val="center"/>
          </w:tcPr>
          <w:p w14:paraId="0F46F4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李剑</w:t>
            </w:r>
          </w:p>
        </w:tc>
        <w:tc>
          <w:tcPr>
            <w:tcW w:w="774" w:type="dxa"/>
            <w:vAlign w:val="center"/>
          </w:tcPr>
          <w:p w14:paraId="3AEDB8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w:t>
            </w:r>
          </w:p>
        </w:tc>
        <w:tc>
          <w:tcPr>
            <w:tcW w:w="1200" w:type="dxa"/>
            <w:vAlign w:val="center"/>
          </w:tcPr>
          <w:p w14:paraId="58A53F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20211215</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20231225</w:t>
            </w:r>
          </w:p>
        </w:tc>
        <w:tc>
          <w:tcPr>
            <w:tcW w:w="719" w:type="dxa"/>
            <w:vAlign w:val="center"/>
          </w:tcPr>
          <w:p w14:paraId="1AB9B1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4</w:t>
            </w:r>
          </w:p>
        </w:tc>
        <w:tc>
          <w:tcPr>
            <w:tcW w:w="687" w:type="dxa"/>
            <w:vAlign w:val="center"/>
          </w:tcPr>
          <w:p w14:paraId="503ED6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0</w:t>
            </w:r>
          </w:p>
        </w:tc>
      </w:tr>
    </w:tbl>
    <w:p w14:paraId="6CF94515">
      <w:pPr>
        <w:keepNext w:val="0"/>
        <w:keepLines w:val="0"/>
        <w:pageBreakBefore w:val="0"/>
        <w:kinsoku/>
        <w:wordWrap/>
        <w:overflowPunct/>
        <w:topLinePunct w:val="0"/>
        <w:bidi w:val="0"/>
        <w:adjustRightInd w:val="0"/>
        <w:spacing w:line="360" w:lineRule="exact"/>
        <w:ind w:left="0" w:leftChars="0" w:right="0" w:rightChars="0" w:firstLine="0" w:firstLineChars="0"/>
        <w:rPr>
          <w:rFonts w:hint="default" w:ascii="Times New Roman" w:hAnsi="Times New Roman" w:eastAsia="STFangsong" w:cs="Times New Roman"/>
          <w:color w:val="auto"/>
          <w:szCs w:val="21"/>
        </w:rPr>
      </w:pPr>
    </w:p>
    <w:p w14:paraId="072B6B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3</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科研获奖情况</w:t>
      </w:r>
    </w:p>
    <w:p w14:paraId="2E0FCF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表11  科研获奖情况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5"/>
        <w:gridCol w:w="1711"/>
        <w:gridCol w:w="1091"/>
        <w:gridCol w:w="1898"/>
        <w:gridCol w:w="1091"/>
        <w:gridCol w:w="1079"/>
        <w:gridCol w:w="1003"/>
      </w:tblGrid>
      <w:tr w14:paraId="6673E7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jc w:val="center"/>
        </w:trPr>
        <w:tc>
          <w:tcPr>
            <w:tcW w:w="665" w:type="dxa"/>
            <w:vAlign w:val="center"/>
          </w:tcPr>
          <w:p w14:paraId="17F35DE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711" w:type="dxa"/>
            <w:vAlign w:val="center"/>
          </w:tcPr>
          <w:p w14:paraId="31235E7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奖项名称</w:t>
            </w:r>
          </w:p>
        </w:tc>
        <w:tc>
          <w:tcPr>
            <w:tcW w:w="1091" w:type="dxa"/>
            <w:vAlign w:val="center"/>
          </w:tcPr>
          <w:p w14:paraId="5A7C5395">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获奖等级</w:t>
            </w:r>
          </w:p>
        </w:tc>
        <w:tc>
          <w:tcPr>
            <w:tcW w:w="1898" w:type="dxa"/>
            <w:vAlign w:val="center"/>
          </w:tcPr>
          <w:p w14:paraId="37440DA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获奖项目名称</w:t>
            </w:r>
          </w:p>
        </w:tc>
        <w:tc>
          <w:tcPr>
            <w:tcW w:w="1091" w:type="dxa"/>
            <w:vAlign w:val="center"/>
          </w:tcPr>
          <w:p w14:paraId="2BC7799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完成人</w:t>
            </w:r>
          </w:p>
        </w:tc>
        <w:tc>
          <w:tcPr>
            <w:tcW w:w="1079" w:type="dxa"/>
            <w:vAlign w:val="center"/>
          </w:tcPr>
          <w:p w14:paraId="5F4A3FA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单位排名</w:t>
            </w:r>
          </w:p>
        </w:tc>
        <w:tc>
          <w:tcPr>
            <w:tcW w:w="1003" w:type="dxa"/>
            <w:vAlign w:val="center"/>
          </w:tcPr>
          <w:p w14:paraId="78C0607E">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获奖</w:t>
            </w:r>
          </w:p>
          <w:p w14:paraId="5394539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年度</w:t>
            </w:r>
          </w:p>
        </w:tc>
      </w:tr>
      <w:tr w14:paraId="481EE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5" w:hRule="atLeast"/>
          <w:jc w:val="center"/>
        </w:trPr>
        <w:tc>
          <w:tcPr>
            <w:tcW w:w="665" w:type="dxa"/>
            <w:vAlign w:val="center"/>
          </w:tcPr>
          <w:p w14:paraId="6E56EF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1711" w:type="dxa"/>
            <w:vAlign w:val="center"/>
          </w:tcPr>
          <w:p w14:paraId="060A45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宪法上的基因权利及其保护机制研究</w:t>
            </w:r>
          </w:p>
        </w:tc>
        <w:tc>
          <w:tcPr>
            <w:tcW w:w="1091" w:type="dxa"/>
            <w:vAlign w:val="center"/>
          </w:tcPr>
          <w:p w14:paraId="5660C9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三等奖</w:t>
            </w:r>
          </w:p>
        </w:tc>
        <w:tc>
          <w:tcPr>
            <w:tcW w:w="1898" w:type="dxa"/>
            <w:vAlign w:val="center"/>
          </w:tcPr>
          <w:p w14:paraId="0ECE3E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湖南省社科成果奖</w:t>
            </w:r>
          </w:p>
        </w:tc>
        <w:tc>
          <w:tcPr>
            <w:tcW w:w="1091" w:type="dxa"/>
            <w:vAlign w:val="center"/>
          </w:tcPr>
          <w:p w14:paraId="3A601E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张小罗</w:t>
            </w:r>
          </w:p>
        </w:tc>
        <w:tc>
          <w:tcPr>
            <w:tcW w:w="1079" w:type="dxa"/>
            <w:vAlign w:val="center"/>
          </w:tcPr>
          <w:p w14:paraId="674BF4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第一</w:t>
            </w:r>
          </w:p>
        </w:tc>
        <w:tc>
          <w:tcPr>
            <w:tcW w:w="1003" w:type="dxa"/>
            <w:vAlign w:val="center"/>
          </w:tcPr>
          <w:p w14:paraId="38E21D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p>
        </w:tc>
      </w:tr>
      <w:tr w14:paraId="1105E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0" w:hRule="atLeast"/>
          <w:jc w:val="center"/>
        </w:trPr>
        <w:tc>
          <w:tcPr>
            <w:tcW w:w="665" w:type="dxa"/>
            <w:vAlign w:val="center"/>
          </w:tcPr>
          <w:p w14:paraId="555EEF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w:t>
            </w:r>
          </w:p>
        </w:tc>
        <w:tc>
          <w:tcPr>
            <w:tcW w:w="1711" w:type="dxa"/>
            <w:vAlign w:val="center"/>
          </w:tcPr>
          <w:p w14:paraId="49C5AD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2021年湖南省社会科学普及网上答题活动优秀组织个人</w:t>
            </w:r>
          </w:p>
        </w:tc>
        <w:tc>
          <w:tcPr>
            <w:tcW w:w="1091" w:type="dxa"/>
            <w:vAlign w:val="center"/>
          </w:tcPr>
          <w:p w14:paraId="40A902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其他奖</w:t>
            </w:r>
          </w:p>
        </w:tc>
        <w:tc>
          <w:tcPr>
            <w:tcW w:w="1898" w:type="dxa"/>
            <w:vAlign w:val="center"/>
          </w:tcPr>
          <w:p w14:paraId="5E3E71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2021年湖南省社会科学普及网上答题活动优秀组织个人</w:t>
            </w:r>
          </w:p>
        </w:tc>
        <w:tc>
          <w:tcPr>
            <w:tcW w:w="1091" w:type="dxa"/>
            <w:vAlign w:val="center"/>
          </w:tcPr>
          <w:p w14:paraId="5C815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阳永恒</w:t>
            </w:r>
          </w:p>
        </w:tc>
        <w:tc>
          <w:tcPr>
            <w:tcW w:w="1079" w:type="dxa"/>
            <w:vAlign w:val="center"/>
          </w:tcPr>
          <w:p w14:paraId="31A4D1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第一</w:t>
            </w:r>
          </w:p>
        </w:tc>
        <w:tc>
          <w:tcPr>
            <w:tcW w:w="1003" w:type="dxa"/>
            <w:vAlign w:val="center"/>
          </w:tcPr>
          <w:p w14:paraId="3CAD78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p>
        </w:tc>
      </w:tr>
      <w:tr w14:paraId="07D631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14:paraId="0CD10D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3</w:t>
            </w:r>
          </w:p>
        </w:tc>
        <w:tc>
          <w:tcPr>
            <w:tcW w:w="1711" w:type="dxa"/>
            <w:vAlign w:val="center"/>
          </w:tcPr>
          <w:p w14:paraId="55A65F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湖南省第八届知识产权竞答赛高校组三等奖</w:t>
            </w:r>
          </w:p>
        </w:tc>
        <w:tc>
          <w:tcPr>
            <w:tcW w:w="1091" w:type="dxa"/>
            <w:vAlign w:val="center"/>
          </w:tcPr>
          <w:p w14:paraId="77F4AC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lang w:val="en-US" w:eastAsia="zh-CN"/>
              </w:rPr>
              <w:t>三</w:t>
            </w:r>
            <w:r>
              <w:rPr>
                <w:rFonts w:hint="default" w:ascii="Times New Roman" w:hAnsi="Times New Roman" w:cs="Times New Roman" w:eastAsiaTheme="majorEastAsia"/>
                <w:bCs/>
                <w:color w:val="auto"/>
                <w:sz w:val="21"/>
                <w:szCs w:val="21"/>
              </w:rPr>
              <w:t>等奖</w:t>
            </w:r>
          </w:p>
        </w:tc>
        <w:tc>
          <w:tcPr>
            <w:tcW w:w="1898" w:type="dxa"/>
            <w:vAlign w:val="center"/>
          </w:tcPr>
          <w:p w14:paraId="06E1160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2021年湖南省第八届知识产权竞答赛（决赛）团体奖</w:t>
            </w:r>
          </w:p>
        </w:tc>
        <w:tc>
          <w:tcPr>
            <w:tcW w:w="1091" w:type="dxa"/>
            <w:vAlign w:val="center"/>
          </w:tcPr>
          <w:p w14:paraId="70779C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胡潇潇</w:t>
            </w:r>
          </w:p>
        </w:tc>
        <w:tc>
          <w:tcPr>
            <w:tcW w:w="1079" w:type="dxa"/>
            <w:vAlign w:val="center"/>
          </w:tcPr>
          <w:p w14:paraId="549C13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第一</w:t>
            </w:r>
          </w:p>
        </w:tc>
        <w:tc>
          <w:tcPr>
            <w:tcW w:w="1003" w:type="dxa"/>
            <w:vAlign w:val="center"/>
          </w:tcPr>
          <w:p w14:paraId="36DDFB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p>
        </w:tc>
      </w:tr>
      <w:tr w14:paraId="4A650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65" w:type="dxa"/>
            <w:vAlign w:val="center"/>
          </w:tcPr>
          <w:p w14:paraId="7D8B2D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4</w:t>
            </w:r>
          </w:p>
        </w:tc>
        <w:tc>
          <w:tcPr>
            <w:tcW w:w="1711" w:type="dxa"/>
            <w:vAlign w:val="center"/>
          </w:tcPr>
          <w:p w14:paraId="7563B02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2021年第八届湖南省知识产权竞答赛高校组优秀指导老师奖</w:t>
            </w:r>
          </w:p>
        </w:tc>
        <w:tc>
          <w:tcPr>
            <w:tcW w:w="1091" w:type="dxa"/>
            <w:vAlign w:val="center"/>
          </w:tcPr>
          <w:p w14:paraId="0D9805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其他奖</w:t>
            </w:r>
          </w:p>
        </w:tc>
        <w:tc>
          <w:tcPr>
            <w:tcW w:w="1898" w:type="dxa"/>
            <w:vAlign w:val="center"/>
          </w:tcPr>
          <w:p w14:paraId="620067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2021年第八届湖南省知识产权竞答赛优秀指导老师奖</w:t>
            </w:r>
          </w:p>
        </w:tc>
        <w:tc>
          <w:tcPr>
            <w:tcW w:w="1091" w:type="dxa"/>
            <w:vAlign w:val="center"/>
          </w:tcPr>
          <w:p w14:paraId="4106AB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胡潇潇</w:t>
            </w:r>
          </w:p>
        </w:tc>
        <w:tc>
          <w:tcPr>
            <w:tcW w:w="1079" w:type="dxa"/>
            <w:vAlign w:val="center"/>
          </w:tcPr>
          <w:p w14:paraId="0AD2B4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第一</w:t>
            </w:r>
          </w:p>
        </w:tc>
        <w:tc>
          <w:tcPr>
            <w:tcW w:w="1003" w:type="dxa"/>
            <w:vAlign w:val="center"/>
          </w:tcPr>
          <w:p w14:paraId="4C4847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rPr>
              <w:t>202</w:t>
            </w:r>
            <w:r>
              <w:rPr>
                <w:rFonts w:hint="default" w:ascii="Times New Roman" w:hAnsi="Times New Roman" w:cs="Times New Roman" w:eastAsiaTheme="majorEastAsia"/>
                <w:bCs/>
                <w:color w:val="auto"/>
                <w:sz w:val="21"/>
                <w:szCs w:val="21"/>
                <w:lang w:val="en-US" w:eastAsia="zh-CN"/>
              </w:rPr>
              <w:t>1</w:t>
            </w:r>
          </w:p>
        </w:tc>
      </w:tr>
    </w:tbl>
    <w:p w14:paraId="1C178A64">
      <w:pPr>
        <w:keepNext w:val="0"/>
        <w:keepLines w:val="0"/>
        <w:pageBreakBefore w:val="0"/>
        <w:kinsoku/>
        <w:wordWrap/>
        <w:overflowPunct/>
        <w:topLinePunct w:val="0"/>
        <w:bidi w:val="0"/>
        <w:adjustRightInd w:val="0"/>
        <w:spacing w:line="360" w:lineRule="exact"/>
        <w:ind w:left="0" w:leftChars="0" w:right="0" w:rightChars="0" w:firstLine="0" w:firstLineChars="0"/>
        <w:rPr>
          <w:rFonts w:hint="default" w:ascii="Times New Roman" w:hAnsi="Times New Roman" w:eastAsia="STFangsong" w:cs="Times New Roman"/>
          <w:color w:val="auto"/>
          <w:szCs w:val="21"/>
        </w:rPr>
      </w:pPr>
    </w:p>
    <w:p w14:paraId="6DF42F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表12  科研平台情况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7"/>
        <w:gridCol w:w="1707"/>
        <w:gridCol w:w="1707"/>
        <w:gridCol w:w="1708"/>
        <w:gridCol w:w="1709"/>
      </w:tblGrid>
      <w:tr w14:paraId="78A22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3F7DE10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704" w:type="dxa"/>
            <w:vAlign w:val="center"/>
          </w:tcPr>
          <w:p w14:paraId="6D9FC4B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平台类别</w:t>
            </w:r>
          </w:p>
        </w:tc>
        <w:tc>
          <w:tcPr>
            <w:tcW w:w="1704" w:type="dxa"/>
            <w:vAlign w:val="center"/>
          </w:tcPr>
          <w:p w14:paraId="6BD4A3E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平台名称</w:t>
            </w:r>
          </w:p>
        </w:tc>
        <w:tc>
          <w:tcPr>
            <w:tcW w:w="1705" w:type="dxa"/>
            <w:vAlign w:val="center"/>
          </w:tcPr>
          <w:p w14:paraId="63BC5B0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批准年度</w:t>
            </w:r>
          </w:p>
        </w:tc>
        <w:tc>
          <w:tcPr>
            <w:tcW w:w="1705" w:type="dxa"/>
            <w:vAlign w:val="center"/>
          </w:tcPr>
          <w:p w14:paraId="2089902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评估情况</w:t>
            </w:r>
          </w:p>
        </w:tc>
      </w:tr>
      <w:tr w14:paraId="1B5262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21CDD01D">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 w:val="0"/>
                <w:bCs/>
                <w:color w:val="auto"/>
                <w:kern w:val="2"/>
                <w:sz w:val="21"/>
                <w:szCs w:val="21"/>
                <w:lang w:val="en-US" w:eastAsia="zh-CN" w:bidi="ar-SA"/>
              </w:rPr>
              <w:t>1</w:t>
            </w:r>
          </w:p>
        </w:tc>
        <w:tc>
          <w:tcPr>
            <w:tcW w:w="1704" w:type="dxa"/>
            <w:vAlign w:val="center"/>
          </w:tcPr>
          <w:p w14:paraId="67361A04">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rPr>
            </w:pPr>
            <w:r>
              <w:rPr>
                <w:rFonts w:hint="eastAsia" w:ascii="Times New Roman" w:hAnsi="Times New Roman" w:cs="Times New Roman" w:eastAsiaTheme="majorEastAsia"/>
                <w:b w:val="0"/>
                <w:bCs/>
                <w:color w:val="auto"/>
                <w:kern w:val="2"/>
                <w:sz w:val="21"/>
                <w:szCs w:val="21"/>
                <w:lang w:val="en-US" w:eastAsia="zh-CN" w:bidi="ar-SA"/>
              </w:rPr>
              <w:t>市级</w:t>
            </w:r>
          </w:p>
        </w:tc>
        <w:tc>
          <w:tcPr>
            <w:tcW w:w="1704" w:type="dxa"/>
            <w:vAlign w:val="center"/>
          </w:tcPr>
          <w:p w14:paraId="16DE8475">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 w:val="0"/>
                <w:bCs/>
                <w:color w:val="auto"/>
                <w:kern w:val="2"/>
                <w:sz w:val="21"/>
                <w:szCs w:val="21"/>
                <w:lang w:val="en-US" w:eastAsia="zh-CN" w:bidi="ar-SA"/>
              </w:rPr>
              <w:t>长沙市天心区市域社会治理科学研究室林科大工作站</w:t>
            </w:r>
          </w:p>
        </w:tc>
        <w:tc>
          <w:tcPr>
            <w:tcW w:w="1705" w:type="dxa"/>
            <w:vAlign w:val="center"/>
          </w:tcPr>
          <w:p w14:paraId="64C8E252">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 w:val="0"/>
                <w:bCs/>
                <w:color w:val="auto"/>
                <w:kern w:val="2"/>
                <w:sz w:val="21"/>
                <w:szCs w:val="21"/>
                <w:lang w:val="en-US" w:eastAsia="zh-CN" w:bidi="ar-SA"/>
              </w:rPr>
              <w:t>2020</w:t>
            </w:r>
          </w:p>
        </w:tc>
        <w:tc>
          <w:tcPr>
            <w:tcW w:w="1705" w:type="dxa"/>
            <w:vAlign w:val="center"/>
          </w:tcPr>
          <w:p w14:paraId="029E55C2">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正常运行</w:t>
            </w:r>
          </w:p>
        </w:tc>
      </w:tr>
      <w:tr w14:paraId="5B579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00FDABE7">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 w:val="0"/>
                <w:bCs/>
                <w:color w:val="auto"/>
                <w:kern w:val="2"/>
                <w:sz w:val="21"/>
                <w:szCs w:val="21"/>
                <w:lang w:val="en-US" w:eastAsia="zh-CN" w:bidi="ar-SA"/>
              </w:rPr>
              <w:t>2</w:t>
            </w:r>
          </w:p>
        </w:tc>
        <w:tc>
          <w:tcPr>
            <w:tcW w:w="1704" w:type="dxa"/>
            <w:vAlign w:val="center"/>
          </w:tcPr>
          <w:p w14:paraId="208F893A">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rPr>
            </w:pPr>
            <w:r>
              <w:rPr>
                <w:rFonts w:hint="eastAsia" w:ascii="Times New Roman" w:hAnsi="Times New Roman" w:cs="Times New Roman" w:eastAsiaTheme="majorEastAsia"/>
                <w:b w:val="0"/>
                <w:bCs/>
                <w:color w:val="auto"/>
                <w:kern w:val="2"/>
                <w:sz w:val="21"/>
                <w:szCs w:val="21"/>
                <w:lang w:val="en-US" w:eastAsia="zh-CN" w:bidi="ar-SA"/>
              </w:rPr>
              <w:t>校级</w:t>
            </w:r>
          </w:p>
        </w:tc>
        <w:tc>
          <w:tcPr>
            <w:tcW w:w="1704" w:type="dxa"/>
            <w:vAlign w:val="center"/>
          </w:tcPr>
          <w:p w14:paraId="7E36A528">
            <w:pPr>
              <w:adjustRightInd w:val="0"/>
              <w:snapToGrid w:val="0"/>
              <w:spacing w:line="360" w:lineRule="exact"/>
              <w:jc w:val="center"/>
              <w:rPr>
                <w:rFonts w:hint="default" w:ascii="Times New Roman" w:hAnsi="Times New Roman" w:cs="Times New Roman" w:eastAsiaTheme="majorEastAsia"/>
                <w:bCs/>
                <w:color w:val="auto"/>
                <w:sz w:val="21"/>
                <w:szCs w:val="21"/>
              </w:rPr>
            </w:pPr>
            <w:r>
              <w:rPr>
                <w:rFonts w:hint="eastAsia" w:ascii="Times New Roman" w:hAnsi="Times New Roman" w:cs="Times New Roman" w:eastAsiaTheme="majorEastAsia"/>
                <w:bCs/>
                <w:szCs w:val="21"/>
              </w:rPr>
              <w:t>人权研究所</w:t>
            </w:r>
          </w:p>
        </w:tc>
        <w:tc>
          <w:tcPr>
            <w:tcW w:w="1705" w:type="dxa"/>
            <w:vAlign w:val="center"/>
          </w:tcPr>
          <w:p w14:paraId="17F05B4A">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2007</w:t>
            </w:r>
          </w:p>
        </w:tc>
        <w:tc>
          <w:tcPr>
            <w:tcW w:w="1705" w:type="dxa"/>
            <w:vAlign w:val="center"/>
          </w:tcPr>
          <w:p w14:paraId="2878008B">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优秀</w:t>
            </w:r>
          </w:p>
        </w:tc>
      </w:tr>
      <w:tr w14:paraId="1E5D7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36D38EBF">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3</w:t>
            </w:r>
          </w:p>
        </w:tc>
        <w:tc>
          <w:tcPr>
            <w:tcW w:w="1704" w:type="dxa"/>
            <w:vAlign w:val="center"/>
          </w:tcPr>
          <w:p w14:paraId="2B00F570">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校级</w:t>
            </w:r>
          </w:p>
        </w:tc>
        <w:tc>
          <w:tcPr>
            <w:tcW w:w="1704" w:type="dxa"/>
            <w:vAlign w:val="center"/>
          </w:tcPr>
          <w:p w14:paraId="5C1B869E">
            <w:pPr>
              <w:adjustRightInd w:val="0"/>
              <w:snapToGrid w:val="0"/>
              <w:spacing w:line="360" w:lineRule="exact"/>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Cs/>
                <w:szCs w:val="21"/>
              </w:rPr>
              <w:t>林业法研究所</w:t>
            </w:r>
          </w:p>
        </w:tc>
        <w:tc>
          <w:tcPr>
            <w:tcW w:w="1705" w:type="dxa"/>
            <w:vAlign w:val="center"/>
          </w:tcPr>
          <w:p w14:paraId="2B1FAF62">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2017</w:t>
            </w:r>
          </w:p>
        </w:tc>
        <w:tc>
          <w:tcPr>
            <w:tcW w:w="1705" w:type="dxa"/>
            <w:vAlign w:val="center"/>
          </w:tcPr>
          <w:p w14:paraId="412468BF">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优秀</w:t>
            </w:r>
          </w:p>
        </w:tc>
      </w:tr>
      <w:tr w14:paraId="2A9370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50AA7141">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4</w:t>
            </w:r>
          </w:p>
        </w:tc>
        <w:tc>
          <w:tcPr>
            <w:tcW w:w="1704" w:type="dxa"/>
            <w:vAlign w:val="center"/>
          </w:tcPr>
          <w:p w14:paraId="2996D5ED">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校级</w:t>
            </w:r>
          </w:p>
        </w:tc>
        <w:tc>
          <w:tcPr>
            <w:tcW w:w="1704" w:type="dxa"/>
            <w:vAlign w:val="center"/>
          </w:tcPr>
          <w:p w14:paraId="6A7FA66D">
            <w:pPr>
              <w:adjustRightInd w:val="0"/>
              <w:snapToGrid w:val="0"/>
              <w:spacing w:line="360" w:lineRule="exact"/>
              <w:jc w:val="center"/>
              <w:rPr>
                <w:rFonts w:hint="default" w:ascii="Times New Roman" w:hAnsi="Times New Roman" w:cs="Times New Roman" w:eastAsiaTheme="majorEastAsia"/>
                <w:bCs/>
                <w:color w:val="auto"/>
                <w:sz w:val="21"/>
                <w:szCs w:val="21"/>
                <w:lang w:eastAsia="zh-CN"/>
              </w:rPr>
            </w:pPr>
            <w:r>
              <w:rPr>
                <w:rFonts w:hint="eastAsia" w:ascii="Times New Roman" w:hAnsi="Times New Roman" w:cs="Times New Roman" w:eastAsiaTheme="majorEastAsia"/>
                <w:bCs/>
                <w:szCs w:val="21"/>
              </w:rPr>
              <w:t>环境法研究所</w:t>
            </w:r>
          </w:p>
        </w:tc>
        <w:tc>
          <w:tcPr>
            <w:tcW w:w="1705" w:type="dxa"/>
            <w:vAlign w:val="center"/>
          </w:tcPr>
          <w:p w14:paraId="572350A0">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2017</w:t>
            </w:r>
          </w:p>
        </w:tc>
        <w:tc>
          <w:tcPr>
            <w:tcW w:w="1705" w:type="dxa"/>
            <w:vAlign w:val="center"/>
          </w:tcPr>
          <w:p w14:paraId="23C09EB5">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优秀</w:t>
            </w:r>
          </w:p>
        </w:tc>
      </w:tr>
      <w:tr w14:paraId="784560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7A377C35">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5</w:t>
            </w:r>
          </w:p>
        </w:tc>
        <w:tc>
          <w:tcPr>
            <w:tcW w:w="1704" w:type="dxa"/>
            <w:vAlign w:val="center"/>
          </w:tcPr>
          <w:p w14:paraId="2EF9130F">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校级</w:t>
            </w:r>
          </w:p>
        </w:tc>
        <w:tc>
          <w:tcPr>
            <w:tcW w:w="1704" w:type="dxa"/>
            <w:vAlign w:val="center"/>
          </w:tcPr>
          <w:p w14:paraId="366BAB03">
            <w:pPr>
              <w:adjustRightInd w:val="0"/>
              <w:snapToGrid w:val="0"/>
              <w:spacing w:line="360" w:lineRule="exact"/>
              <w:jc w:val="center"/>
              <w:rPr>
                <w:rFonts w:hint="default" w:ascii="Times New Roman" w:hAnsi="Times New Roman" w:cs="Times New Roman" w:eastAsiaTheme="majorEastAsia"/>
                <w:bCs/>
                <w:color w:val="auto"/>
                <w:sz w:val="21"/>
                <w:szCs w:val="21"/>
                <w:lang w:eastAsia="zh-CN"/>
              </w:rPr>
            </w:pPr>
            <w:r>
              <w:rPr>
                <w:rFonts w:hint="eastAsia" w:ascii="Times New Roman" w:hAnsi="Times New Roman" w:cs="Times New Roman" w:eastAsiaTheme="majorEastAsia"/>
                <w:bCs/>
                <w:szCs w:val="21"/>
              </w:rPr>
              <w:t>法律实务研究所</w:t>
            </w:r>
          </w:p>
        </w:tc>
        <w:tc>
          <w:tcPr>
            <w:tcW w:w="1705" w:type="dxa"/>
            <w:vAlign w:val="center"/>
          </w:tcPr>
          <w:p w14:paraId="2215C2D7">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2018</w:t>
            </w:r>
          </w:p>
        </w:tc>
        <w:tc>
          <w:tcPr>
            <w:tcW w:w="1705" w:type="dxa"/>
            <w:vAlign w:val="center"/>
          </w:tcPr>
          <w:p w14:paraId="579BB00C">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优秀</w:t>
            </w:r>
          </w:p>
        </w:tc>
      </w:tr>
      <w:tr w14:paraId="3C889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14:paraId="360E6B8F">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6</w:t>
            </w:r>
          </w:p>
        </w:tc>
        <w:tc>
          <w:tcPr>
            <w:tcW w:w="1704" w:type="dxa"/>
            <w:vAlign w:val="center"/>
          </w:tcPr>
          <w:p w14:paraId="54FC4363">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校级</w:t>
            </w:r>
          </w:p>
        </w:tc>
        <w:tc>
          <w:tcPr>
            <w:tcW w:w="1704" w:type="dxa"/>
            <w:vAlign w:val="center"/>
          </w:tcPr>
          <w:p w14:paraId="1C1C59D6">
            <w:pPr>
              <w:adjustRightInd w:val="0"/>
              <w:snapToGrid w:val="0"/>
              <w:spacing w:line="360" w:lineRule="exact"/>
              <w:jc w:val="center"/>
              <w:rPr>
                <w:rFonts w:hint="default" w:ascii="Times New Roman" w:hAnsi="Times New Roman" w:cs="Times New Roman" w:eastAsiaTheme="majorEastAsia"/>
                <w:bCs/>
                <w:color w:val="auto"/>
                <w:sz w:val="21"/>
                <w:szCs w:val="21"/>
                <w:lang w:eastAsia="zh-CN"/>
              </w:rPr>
            </w:pPr>
            <w:r>
              <w:rPr>
                <w:rFonts w:hint="eastAsia" w:ascii="Times New Roman" w:hAnsi="Times New Roman" w:cs="Times New Roman" w:eastAsiaTheme="majorEastAsia"/>
                <w:bCs/>
                <w:szCs w:val="21"/>
              </w:rPr>
              <w:t>法学理论研究所</w:t>
            </w:r>
          </w:p>
        </w:tc>
        <w:tc>
          <w:tcPr>
            <w:tcW w:w="1705" w:type="dxa"/>
            <w:vAlign w:val="center"/>
          </w:tcPr>
          <w:p w14:paraId="5F01F01C">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2018</w:t>
            </w:r>
          </w:p>
        </w:tc>
        <w:tc>
          <w:tcPr>
            <w:tcW w:w="1705" w:type="dxa"/>
            <w:vAlign w:val="center"/>
          </w:tcPr>
          <w:p w14:paraId="54BB4B5E">
            <w:pPr>
              <w:keepNext w:val="0"/>
              <w:keepLines w:val="0"/>
              <w:pageBreakBefore w:val="0"/>
              <w:kinsoku/>
              <w:wordWrap/>
              <w:overflowPunct/>
              <w:topLinePunct w:val="0"/>
              <w:autoSpaceDE w:val="0"/>
              <w:autoSpaceDN w:val="0"/>
              <w:bidi w:val="0"/>
              <w:adjustRightInd w:val="0"/>
              <w:spacing w:line="360" w:lineRule="exact"/>
              <w:ind w:left="0" w:leftChars="0" w:right="0" w:rightChars="0"/>
              <w:jc w:val="center"/>
              <w:rPr>
                <w:rFonts w:hint="default" w:ascii="Times New Roman" w:hAnsi="Times New Roman" w:cs="Times New Roman" w:eastAsiaTheme="majorEastAsia"/>
                <w:bCs/>
                <w:color w:val="auto"/>
                <w:sz w:val="21"/>
                <w:szCs w:val="21"/>
                <w:lang w:val="en-US" w:eastAsia="zh-CN"/>
              </w:rPr>
            </w:pPr>
            <w:r>
              <w:rPr>
                <w:rFonts w:hint="eastAsia" w:ascii="Times New Roman" w:hAnsi="Times New Roman" w:cs="Times New Roman" w:eastAsiaTheme="majorEastAsia"/>
                <w:b w:val="0"/>
                <w:bCs/>
                <w:color w:val="auto"/>
                <w:kern w:val="2"/>
                <w:sz w:val="21"/>
                <w:szCs w:val="21"/>
                <w:lang w:val="en-US" w:eastAsia="zh-CN" w:bidi="ar-SA"/>
              </w:rPr>
              <w:t>优秀</w:t>
            </w:r>
          </w:p>
        </w:tc>
      </w:tr>
    </w:tbl>
    <w:p w14:paraId="6D6067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p>
    <w:p w14:paraId="509194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4</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社会服务情况</w:t>
      </w:r>
    </w:p>
    <w:p w14:paraId="58645B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cs="Times New Roman"/>
          <w:i w:val="0"/>
          <w:iCs w:val="0"/>
          <w:color w:val="auto"/>
          <w:kern w:val="2"/>
          <w:sz w:val="24"/>
          <w:szCs w:val="24"/>
          <w:lang w:val="en-US" w:eastAsia="zh-CN" w:bidi="ar-SA"/>
        </w:rPr>
        <w:t>（1）</w:t>
      </w:r>
      <w:r>
        <w:rPr>
          <w:rFonts w:hint="default" w:ascii="Times New Roman" w:hAnsi="Times New Roman" w:eastAsia="SimSun" w:cs="Times New Roman"/>
          <w:i w:val="0"/>
          <w:iCs w:val="0"/>
          <w:color w:val="auto"/>
          <w:kern w:val="2"/>
          <w:sz w:val="24"/>
          <w:szCs w:val="24"/>
          <w:lang w:val="en-US" w:eastAsia="zh-CN" w:bidi="ar-SA"/>
        </w:rPr>
        <w:t xml:space="preserve">积极向社会提供法治服务，为推进全面依法治国和法治湖南建设作出了应有的贡献。参加立法调研论证和司法服务成效显著。周训芳、蒋兰香、王飞跃等教授受邀参加《环境保护法》《森林法》《野生动物保护法》《湿地保护法》等法律法规草案的论证和咨询工作，受邀参加最高人民法院、最高人民检察院和本地法院、检察院、仲裁委员会等组织的优秀庭审和优秀案件评选、疑难案件专家咨询论证、案件陪审、审查批准逮捕听证、仲裁以及培训授课活动，为司法实务部门提供优质法治服务，得到司法实务部门高度赞赏。 </w:t>
      </w:r>
    </w:p>
    <w:p w14:paraId="529503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 xml:space="preserve">（2）组织开展普法宣传活动效果良好。周训芳等教授赴重庆、广东、湖南、广西给9个地市林业系统干部开设森林法治讲座。积极利用电视媒体开展普法教育，雷鑫、吴献萍、李敏、宁洁、刘雪梅、胡潇潇等8名骨干教师担任中央电视台、湖南卫视、湖南经视、贵州广播电视台等媒体说法栏目点评嘉宾，运用群众身边的典型案例，深入浅出阐释法律适用，引导群众自觉守法、遇事找法、解决问题靠法。 </w:t>
      </w:r>
    </w:p>
    <w:p w14:paraId="7E9C52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 xml:space="preserve">（3）创新人才培养模式成效突出。创新人才培养模式，与实务部门建立协作机制，为学生搭建社会实践平台，培养复合型高素质法律人才。在长沙市雨花区法院、芙蓉区法院、宁远县法院等司法机构建立学生实习实训基地，与湖南省知识产权局合作创办知识产权教育平台，充分运用实务专家资源培养复合型法律人才，参加实习实训学生的实务能力普遍得到大幅提高。 </w:t>
      </w:r>
    </w:p>
    <w:p w14:paraId="68D8AE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（4）参与“双千计划”培养师资取得双赢效果。近五年来，派出5名法学骨干教师到实务部门挂职，同时，接受5名实务专家到</w:t>
      </w:r>
      <w:r>
        <w:rPr>
          <w:rFonts w:hint="default" w:ascii="Times New Roman" w:hAnsi="Times New Roman" w:cs="Times New Roman"/>
          <w:i w:val="0"/>
          <w:iCs w:val="0"/>
          <w:color w:val="auto"/>
          <w:kern w:val="2"/>
          <w:sz w:val="24"/>
          <w:szCs w:val="24"/>
          <w:lang w:val="en-US" w:eastAsia="zh-CN" w:bidi="ar-SA"/>
        </w:rPr>
        <w:t>法学院</w:t>
      </w:r>
      <w:r>
        <w:rPr>
          <w:rFonts w:hint="default" w:ascii="Times New Roman" w:hAnsi="Times New Roman" w:eastAsia="SimSun" w:cs="Times New Roman"/>
          <w:i w:val="0"/>
          <w:iCs w:val="0"/>
          <w:color w:val="auto"/>
          <w:kern w:val="2"/>
          <w:sz w:val="24"/>
          <w:szCs w:val="24"/>
          <w:lang w:val="en-US" w:eastAsia="zh-CN" w:bidi="ar-SA"/>
        </w:rPr>
        <w:t>挂职授课，取得了理论与实务双赢效果。阳永恒在湖南省司法厅挂职期间，表现突出，被荣记三等功。</w:t>
      </w:r>
    </w:p>
    <w:p w14:paraId="7D98309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2" w:name="_Toc15175"/>
      <w:r>
        <w:rPr>
          <w:rFonts w:hint="default" w:ascii="Times New Roman" w:hAnsi="Times New Roman" w:eastAsia="SimHei" w:cs="Times New Roman"/>
          <w:b w:val="0"/>
          <w:bCs w:val="0"/>
          <w:i w:val="0"/>
          <w:iCs w:val="0"/>
          <w:color w:val="auto"/>
          <w:kern w:val="2"/>
          <w:sz w:val="28"/>
          <w:szCs w:val="28"/>
          <w:lang w:val="en-US" w:eastAsia="zh-CN" w:bidi="ar-SA"/>
        </w:rPr>
        <w:t>（四）国际合作交流</w:t>
      </w:r>
      <w:bookmarkEnd w:id="12"/>
    </w:p>
    <w:p w14:paraId="5EBBD9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1</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教师国际合作交流</w:t>
      </w:r>
    </w:p>
    <w:p w14:paraId="5049B8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表13  教师赴境外学习情况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3"/>
        <w:gridCol w:w="1323"/>
        <w:gridCol w:w="1073"/>
        <w:gridCol w:w="1318"/>
        <w:gridCol w:w="1285"/>
        <w:gridCol w:w="1232"/>
        <w:gridCol w:w="1484"/>
      </w:tblGrid>
      <w:tr w14:paraId="61933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vAlign w:val="center"/>
          </w:tcPr>
          <w:p w14:paraId="0D73BAB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313" w:type="dxa"/>
            <w:vAlign w:val="center"/>
          </w:tcPr>
          <w:p w14:paraId="2C725C7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教师姓名</w:t>
            </w:r>
          </w:p>
        </w:tc>
        <w:tc>
          <w:tcPr>
            <w:tcW w:w="1065" w:type="dxa"/>
            <w:vAlign w:val="center"/>
          </w:tcPr>
          <w:p w14:paraId="1EDE2F9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职称</w:t>
            </w:r>
          </w:p>
        </w:tc>
        <w:tc>
          <w:tcPr>
            <w:tcW w:w="1308" w:type="dxa"/>
            <w:vAlign w:val="center"/>
          </w:tcPr>
          <w:p w14:paraId="4E4BD62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学习单位</w:t>
            </w:r>
          </w:p>
        </w:tc>
        <w:tc>
          <w:tcPr>
            <w:tcW w:w="1275" w:type="dxa"/>
            <w:vAlign w:val="center"/>
          </w:tcPr>
          <w:p w14:paraId="181128F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1222" w:type="dxa"/>
            <w:vAlign w:val="center"/>
          </w:tcPr>
          <w:p w14:paraId="1C937020">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起止时间</w:t>
            </w:r>
          </w:p>
        </w:tc>
        <w:tc>
          <w:tcPr>
            <w:tcW w:w="1472" w:type="dxa"/>
            <w:vAlign w:val="center"/>
          </w:tcPr>
          <w:p w14:paraId="2DFC1E4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资助方式</w:t>
            </w:r>
          </w:p>
        </w:tc>
      </w:tr>
      <w:tr w14:paraId="0329A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vAlign w:val="center"/>
          </w:tcPr>
          <w:p w14:paraId="6BD2B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1313" w:type="dxa"/>
            <w:vAlign w:val="center"/>
          </w:tcPr>
          <w:p w14:paraId="680422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李剑</w:t>
            </w:r>
          </w:p>
        </w:tc>
        <w:tc>
          <w:tcPr>
            <w:tcW w:w="1065" w:type="dxa"/>
            <w:vAlign w:val="center"/>
          </w:tcPr>
          <w:p w14:paraId="4182D5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讲师</w:t>
            </w:r>
          </w:p>
        </w:tc>
        <w:tc>
          <w:tcPr>
            <w:tcW w:w="1308" w:type="dxa"/>
            <w:vAlign w:val="center"/>
          </w:tcPr>
          <w:p w14:paraId="01AEC9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德国慕尼黑大学</w:t>
            </w:r>
          </w:p>
        </w:tc>
        <w:tc>
          <w:tcPr>
            <w:tcW w:w="1275" w:type="dxa"/>
            <w:vAlign w:val="center"/>
          </w:tcPr>
          <w:p w14:paraId="6FB9D7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德国</w:t>
            </w:r>
          </w:p>
        </w:tc>
        <w:tc>
          <w:tcPr>
            <w:tcW w:w="1222" w:type="dxa"/>
            <w:vAlign w:val="center"/>
          </w:tcPr>
          <w:p w14:paraId="037B0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2014</w:t>
            </w:r>
            <w:r>
              <w:rPr>
                <w:rFonts w:hint="default" w:ascii="Times New Roman" w:hAnsi="Times New Roman" w:cs="Times New Roman" w:eastAsiaTheme="majorEastAsia"/>
                <w:bCs/>
                <w:color w:val="auto"/>
                <w:sz w:val="21"/>
                <w:szCs w:val="21"/>
                <w:lang w:val="en-US" w:eastAsia="zh-CN"/>
              </w:rPr>
              <w:t>-</w:t>
            </w:r>
            <w:r>
              <w:rPr>
                <w:rFonts w:hint="default" w:ascii="Times New Roman" w:hAnsi="Times New Roman" w:cs="Times New Roman" w:eastAsiaTheme="majorEastAsia"/>
                <w:bCs/>
                <w:color w:val="auto"/>
                <w:sz w:val="21"/>
                <w:szCs w:val="21"/>
              </w:rPr>
              <w:t>2021</w:t>
            </w:r>
          </w:p>
        </w:tc>
        <w:tc>
          <w:tcPr>
            <w:tcW w:w="1472" w:type="dxa"/>
            <w:vAlign w:val="center"/>
          </w:tcPr>
          <w:p w14:paraId="184B51D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自费</w:t>
            </w:r>
          </w:p>
        </w:tc>
      </w:tr>
    </w:tbl>
    <w:p w14:paraId="47AACF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p>
    <w:p w14:paraId="0EAD07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表14  教师参加境外学术会议情况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8"/>
        <w:gridCol w:w="1021"/>
        <w:gridCol w:w="1021"/>
        <w:gridCol w:w="999"/>
        <w:gridCol w:w="999"/>
        <w:gridCol w:w="999"/>
        <w:gridCol w:w="1292"/>
        <w:gridCol w:w="1209"/>
      </w:tblGrid>
      <w:tr w14:paraId="50EA6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8" w:type="dxa"/>
            <w:vAlign w:val="center"/>
          </w:tcPr>
          <w:p w14:paraId="306016E2">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021" w:type="dxa"/>
            <w:vAlign w:val="center"/>
          </w:tcPr>
          <w:p w14:paraId="07F6E45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教师姓名</w:t>
            </w:r>
          </w:p>
        </w:tc>
        <w:tc>
          <w:tcPr>
            <w:tcW w:w="1021" w:type="dxa"/>
            <w:vAlign w:val="center"/>
          </w:tcPr>
          <w:p w14:paraId="7EC9A143">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职称</w:t>
            </w:r>
          </w:p>
        </w:tc>
        <w:tc>
          <w:tcPr>
            <w:tcW w:w="999" w:type="dxa"/>
            <w:vAlign w:val="center"/>
          </w:tcPr>
          <w:p w14:paraId="25A28FFA">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会议名称</w:t>
            </w:r>
          </w:p>
        </w:tc>
        <w:tc>
          <w:tcPr>
            <w:tcW w:w="999" w:type="dxa"/>
            <w:vAlign w:val="center"/>
          </w:tcPr>
          <w:p w14:paraId="0C3C5BCF">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会议级别</w:t>
            </w:r>
          </w:p>
        </w:tc>
        <w:tc>
          <w:tcPr>
            <w:tcW w:w="999" w:type="dxa"/>
            <w:vAlign w:val="center"/>
          </w:tcPr>
          <w:p w14:paraId="44D9BF19">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1292" w:type="dxa"/>
            <w:vAlign w:val="center"/>
          </w:tcPr>
          <w:p w14:paraId="6B87AE86">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时间</w:t>
            </w:r>
          </w:p>
        </w:tc>
        <w:tc>
          <w:tcPr>
            <w:tcW w:w="1209" w:type="dxa"/>
            <w:vAlign w:val="center"/>
          </w:tcPr>
          <w:p w14:paraId="3BB7941C">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报告名称及形式</w:t>
            </w:r>
          </w:p>
        </w:tc>
      </w:tr>
      <w:tr w14:paraId="37EBD3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8" w:type="dxa"/>
            <w:vAlign w:val="center"/>
          </w:tcPr>
          <w:p w14:paraId="24636C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p>
        </w:tc>
        <w:tc>
          <w:tcPr>
            <w:tcW w:w="1021" w:type="dxa"/>
            <w:vAlign w:val="center"/>
          </w:tcPr>
          <w:p w14:paraId="658D8A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1021" w:type="dxa"/>
            <w:vAlign w:val="center"/>
          </w:tcPr>
          <w:p w14:paraId="75879C0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999" w:type="dxa"/>
            <w:vAlign w:val="center"/>
          </w:tcPr>
          <w:p w14:paraId="0CDD45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999" w:type="dxa"/>
            <w:vAlign w:val="center"/>
          </w:tcPr>
          <w:p w14:paraId="5F2E0E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999" w:type="dxa"/>
            <w:vAlign w:val="center"/>
          </w:tcPr>
          <w:p w14:paraId="08281C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p>
        </w:tc>
        <w:tc>
          <w:tcPr>
            <w:tcW w:w="1292" w:type="dxa"/>
            <w:vAlign w:val="center"/>
          </w:tcPr>
          <w:p w14:paraId="010E35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c>
          <w:tcPr>
            <w:tcW w:w="1209" w:type="dxa"/>
            <w:vAlign w:val="center"/>
          </w:tcPr>
          <w:p w14:paraId="118496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p>
        </w:tc>
      </w:tr>
    </w:tbl>
    <w:p w14:paraId="295514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p>
    <w:p w14:paraId="747694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TFangsong" w:cs="Times New Roman"/>
          <w:b/>
          <w:color w:val="auto"/>
          <w:szCs w:val="21"/>
        </w:rPr>
      </w:pPr>
      <w:r>
        <w:rPr>
          <w:rFonts w:hint="default" w:ascii="Times New Roman" w:hAnsi="Times New Roman" w:eastAsia="SimSun" w:cs="Times New Roman"/>
          <w:i w:val="0"/>
          <w:iCs w:val="0"/>
          <w:color w:val="auto"/>
          <w:kern w:val="2"/>
          <w:sz w:val="24"/>
          <w:szCs w:val="24"/>
          <w:lang w:val="en-US" w:eastAsia="zh-CN" w:bidi="ar-SA"/>
        </w:rPr>
        <w:t>2</w:t>
      </w:r>
      <w:r>
        <w:rPr>
          <w:rFonts w:hint="default" w:ascii="Times New Roman" w:hAnsi="Times New Roman" w:cs="Times New Roman"/>
          <w:i w:val="0"/>
          <w:iCs w:val="0"/>
          <w:color w:val="auto"/>
          <w:kern w:val="2"/>
          <w:sz w:val="24"/>
          <w:szCs w:val="24"/>
          <w:lang w:val="en-US" w:eastAsia="zh-CN" w:bidi="ar-SA"/>
        </w:rPr>
        <w:t>.</w:t>
      </w:r>
      <w:r>
        <w:rPr>
          <w:rFonts w:hint="default" w:ascii="Times New Roman" w:hAnsi="Times New Roman" w:eastAsia="SimSun" w:cs="Times New Roman"/>
          <w:i w:val="0"/>
          <w:iCs w:val="0"/>
          <w:color w:val="auto"/>
          <w:kern w:val="2"/>
          <w:sz w:val="24"/>
          <w:szCs w:val="24"/>
          <w:lang w:val="en-US" w:eastAsia="zh-CN" w:bidi="ar-SA"/>
        </w:rPr>
        <w:t>学生国际合作交流</w:t>
      </w:r>
    </w:p>
    <w:p w14:paraId="635344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i w:val="0"/>
          <w:iCs w:val="0"/>
          <w:color w:val="auto"/>
          <w:kern w:val="2"/>
          <w:szCs w:val="21"/>
          <w:lang w:val="en-US" w:eastAsia="zh-CN" w:bidi="ar-SA"/>
        </w:rPr>
      </w:pPr>
      <w:r>
        <w:rPr>
          <w:rFonts w:hint="default" w:ascii="Times New Roman" w:hAnsi="Times New Roman" w:cs="Times New Roman" w:eastAsiaTheme="minorEastAsia"/>
          <w:b/>
          <w:i w:val="0"/>
          <w:iCs w:val="0"/>
          <w:color w:val="auto"/>
          <w:kern w:val="2"/>
          <w:szCs w:val="21"/>
          <w:lang w:val="en-US" w:eastAsia="zh-CN" w:bidi="ar-SA"/>
        </w:rPr>
        <w:t>表15  学生赴境内外学习情况</w:t>
      </w:r>
    </w:p>
    <w:tbl>
      <w:tblPr>
        <w:tblStyle w:val="6"/>
        <w:tblW w:w="85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318"/>
        <w:gridCol w:w="1069"/>
        <w:gridCol w:w="1313"/>
        <w:gridCol w:w="1280"/>
        <w:gridCol w:w="1261"/>
        <w:gridCol w:w="1478"/>
      </w:tblGrid>
      <w:tr w14:paraId="4140A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vAlign w:val="center"/>
          </w:tcPr>
          <w:p w14:paraId="53A5A0E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序号</w:t>
            </w:r>
          </w:p>
        </w:tc>
        <w:tc>
          <w:tcPr>
            <w:tcW w:w="1313" w:type="dxa"/>
            <w:vAlign w:val="center"/>
          </w:tcPr>
          <w:p w14:paraId="4AEDCA28">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学生姓名</w:t>
            </w:r>
          </w:p>
        </w:tc>
        <w:tc>
          <w:tcPr>
            <w:tcW w:w="1065" w:type="dxa"/>
            <w:vAlign w:val="center"/>
          </w:tcPr>
          <w:p w14:paraId="171581C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层次（博士/硕士）</w:t>
            </w:r>
          </w:p>
        </w:tc>
        <w:tc>
          <w:tcPr>
            <w:tcW w:w="1308" w:type="dxa"/>
            <w:vAlign w:val="center"/>
          </w:tcPr>
          <w:p w14:paraId="283AB9C1">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学习单位</w:t>
            </w:r>
          </w:p>
        </w:tc>
        <w:tc>
          <w:tcPr>
            <w:tcW w:w="1275" w:type="dxa"/>
            <w:vAlign w:val="center"/>
          </w:tcPr>
          <w:p w14:paraId="5A251674">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地点</w:t>
            </w:r>
          </w:p>
        </w:tc>
        <w:tc>
          <w:tcPr>
            <w:tcW w:w="1222" w:type="dxa"/>
            <w:vAlign w:val="center"/>
          </w:tcPr>
          <w:p w14:paraId="3F8B29F7">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起止时间</w:t>
            </w:r>
          </w:p>
        </w:tc>
        <w:tc>
          <w:tcPr>
            <w:tcW w:w="1472" w:type="dxa"/>
            <w:vAlign w:val="center"/>
          </w:tcPr>
          <w:p w14:paraId="52A24FBD">
            <w:pPr>
              <w:keepNext w:val="0"/>
              <w:keepLines w:val="0"/>
              <w:pageBreakBefore w:val="0"/>
              <w:kinsoku/>
              <w:wordWrap/>
              <w:overflowPunct/>
              <w:topLinePunct w:val="0"/>
              <w:autoSpaceDE w:val="0"/>
              <w:autoSpaceDN w:val="0"/>
              <w:bidi w:val="0"/>
              <w:adjustRightInd w:val="0"/>
              <w:spacing w:line="360" w:lineRule="exact"/>
              <w:ind w:firstLine="0" w:firstLineChars="0"/>
              <w:jc w:val="center"/>
              <w:textAlignment w:val="auto"/>
              <w:rPr>
                <w:rFonts w:hint="default" w:ascii="Times New Roman" w:hAnsi="Times New Roman" w:cs="Times New Roman" w:eastAsiaTheme="majorEastAsia"/>
                <w:b/>
                <w:bCs/>
                <w:color w:val="auto"/>
                <w:kern w:val="2"/>
                <w:szCs w:val="21"/>
                <w:lang w:val="en-US" w:eastAsia="zh-CN" w:bidi="ar-SA"/>
              </w:rPr>
            </w:pPr>
            <w:r>
              <w:rPr>
                <w:rFonts w:hint="default" w:ascii="Times New Roman" w:hAnsi="Times New Roman" w:cs="Times New Roman" w:eastAsiaTheme="majorEastAsia"/>
                <w:b/>
                <w:bCs/>
                <w:color w:val="auto"/>
                <w:kern w:val="2"/>
                <w:szCs w:val="21"/>
                <w:lang w:val="en-US" w:eastAsia="zh-CN" w:bidi="ar-SA"/>
              </w:rPr>
              <w:t>资助方式</w:t>
            </w:r>
          </w:p>
        </w:tc>
      </w:tr>
      <w:tr w14:paraId="611B71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vAlign w:val="center"/>
          </w:tcPr>
          <w:p w14:paraId="347F9E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rPr>
            </w:pPr>
            <w:r>
              <w:rPr>
                <w:rFonts w:hint="default" w:ascii="Times New Roman" w:hAnsi="Times New Roman" w:cs="Times New Roman" w:eastAsiaTheme="majorEastAsia"/>
                <w:bCs/>
                <w:color w:val="auto"/>
                <w:sz w:val="21"/>
                <w:szCs w:val="21"/>
              </w:rPr>
              <w:t>1</w:t>
            </w:r>
          </w:p>
        </w:tc>
        <w:tc>
          <w:tcPr>
            <w:tcW w:w="1313" w:type="dxa"/>
            <w:vAlign w:val="center"/>
          </w:tcPr>
          <w:p w14:paraId="676737B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杨洁</w:t>
            </w:r>
          </w:p>
        </w:tc>
        <w:tc>
          <w:tcPr>
            <w:tcW w:w="1065" w:type="dxa"/>
            <w:vAlign w:val="center"/>
          </w:tcPr>
          <w:p w14:paraId="0E80C2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博士</w:t>
            </w:r>
          </w:p>
        </w:tc>
        <w:tc>
          <w:tcPr>
            <w:tcW w:w="1308" w:type="dxa"/>
            <w:vAlign w:val="center"/>
          </w:tcPr>
          <w:p w14:paraId="34F549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哥本哈根大学</w:t>
            </w:r>
          </w:p>
        </w:tc>
        <w:tc>
          <w:tcPr>
            <w:tcW w:w="1275" w:type="dxa"/>
            <w:vAlign w:val="center"/>
          </w:tcPr>
          <w:p w14:paraId="4F3FDB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丹麦</w:t>
            </w:r>
          </w:p>
        </w:tc>
        <w:tc>
          <w:tcPr>
            <w:tcW w:w="1222" w:type="dxa"/>
            <w:vAlign w:val="center"/>
          </w:tcPr>
          <w:p w14:paraId="416B9A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i w:val="0"/>
                <w:iCs w:val="0"/>
                <w:color w:val="auto"/>
                <w:kern w:val="2"/>
                <w:sz w:val="24"/>
                <w:szCs w:val="24"/>
                <w:lang w:val="en-US" w:eastAsia="zh-CN" w:bidi="ar-SA"/>
              </w:rPr>
              <w:t>2021-2023</w:t>
            </w:r>
          </w:p>
        </w:tc>
        <w:tc>
          <w:tcPr>
            <w:tcW w:w="1472" w:type="dxa"/>
            <w:vAlign w:val="center"/>
          </w:tcPr>
          <w:p w14:paraId="27ECD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eastAsia="zh-CN"/>
              </w:rPr>
            </w:pPr>
            <w:r>
              <w:rPr>
                <w:rFonts w:hint="default" w:ascii="Times New Roman" w:hAnsi="Times New Roman" w:cs="Times New Roman" w:eastAsiaTheme="majorEastAsia"/>
                <w:bCs/>
                <w:color w:val="auto"/>
                <w:sz w:val="21"/>
                <w:szCs w:val="21"/>
                <w:lang w:val="en-US" w:eastAsia="zh-CN"/>
              </w:rPr>
              <w:t>公费</w:t>
            </w:r>
          </w:p>
        </w:tc>
      </w:tr>
      <w:tr w14:paraId="7DD99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7" w:type="dxa"/>
            <w:vAlign w:val="center"/>
          </w:tcPr>
          <w:p w14:paraId="1D6C20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2</w:t>
            </w:r>
          </w:p>
        </w:tc>
        <w:tc>
          <w:tcPr>
            <w:tcW w:w="1313" w:type="dxa"/>
            <w:vAlign w:val="center"/>
          </w:tcPr>
          <w:p w14:paraId="2027D7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李蜀南</w:t>
            </w:r>
          </w:p>
        </w:tc>
        <w:tc>
          <w:tcPr>
            <w:tcW w:w="1065" w:type="dxa"/>
            <w:vAlign w:val="center"/>
          </w:tcPr>
          <w:p w14:paraId="5F1F960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博士</w:t>
            </w:r>
          </w:p>
        </w:tc>
        <w:tc>
          <w:tcPr>
            <w:tcW w:w="1308" w:type="dxa"/>
            <w:vAlign w:val="center"/>
          </w:tcPr>
          <w:p w14:paraId="2E12742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加州大学尔湾分校</w:t>
            </w:r>
          </w:p>
        </w:tc>
        <w:tc>
          <w:tcPr>
            <w:tcW w:w="1275" w:type="dxa"/>
            <w:vAlign w:val="center"/>
          </w:tcPr>
          <w:p w14:paraId="5C6938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美国</w:t>
            </w:r>
          </w:p>
        </w:tc>
        <w:tc>
          <w:tcPr>
            <w:tcW w:w="1222" w:type="dxa"/>
            <w:vAlign w:val="center"/>
          </w:tcPr>
          <w:p w14:paraId="12343B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i w:val="0"/>
                <w:iCs w:val="0"/>
                <w:color w:val="auto"/>
                <w:kern w:val="2"/>
                <w:sz w:val="24"/>
                <w:szCs w:val="24"/>
                <w:lang w:val="en-US" w:eastAsia="zh-CN" w:bidi="ar-SA"/>
              </w:rPr>
              <w:t>2021-2023</w:t>
            </w:r>
          </w:p>
        </w:tc>
        <w:tc>
          <w:tcPr>
            <w:tcW w:w="1472" w:type="dxa"/>
            <w:vAlign w:val="center"/>
          </w:tcPr>
          <w:p w14:paraId="7E81FA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自费</w:t>
            </w:r>
          </w:p>
        </w:tc>
      </w:tr>
      <w:tr w14:paraId="3B159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jc w:val="center"/>
        </w:trPr>
        <w:tc>
          <w:tcPr>
            <w:tcW w:w="817" w:type="dxa"/>
            <w:vAlign w:val="center"/>
          </w:tcPr>
          <w:p w14:paraId="3796D1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3</w:t>
            </w:r>
          </w:p>
        </w:tc>
        <w:tc>
          <w:tcPr>
            <w:tcW w:w="1313" w:type="dxa"/>
            <w:vAlign w:val="center"/>
          </w:tcPr>
          <w:p w14:paraId="234EC1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王怡涵</w:t>
            </w:r>
          </w:p>
        </w:tc>
        <w:tc>
          <w:tcPr>
            <w:tcW w:w="1065" w:type="dxa"/>
            <w:vAlign w:val="center"/>
          </w:tcPr>
          <w:p w14:paraId="788149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硕士</w:t>
            </w:r>
          </w:p>
        </w:tc>
        <w:tc>
          <w:tcPr>
            <w:tcW w:w="1308" w:type="dxa"/>
            <w:vAlign w:val="center"/>
          </w:tcPr>
          <w:p w14:paraId="279960C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南加州大学</w:t>
            </w:r>
          </w:p>
        </w:tc>
        <w:tc>
          <w:tcPr>
            <w:tcW w:w="1275" w:type="dxa"/>
            <w:vAlign w:val="center"/>
          </w:tcPr>
          <w:p w14:paraId="2AE9F8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美国</w:t>
            </w:r>
          </w:p>
        </w:tc>
        <w:tc>
          <w:tcPr>
            <w:tcW w:w="1222" w:type="dxa"/>
            <w:vAlign w:val="center"/>
          </w:tcPr>
          <w:p w14:paraId="3A0FD5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i w:val="0"/>
                <w:iCs w:val="0"/>
                <w:color w:val="auto"/>
                <w:kern w:val="2"/>
                <w:sz w:val="24"/>
                <w:szCs w:val="24"/>
                <w:lang w:val="en-US" w:eastAsia="zh-CN" w:bidi="ar-SA"/>
              </w:rPr>
              <w:t>2021-2023</w:t>
            </w:r>
          </w:p>
        </w:tc>
        <w:tc>
          <w:tcPr>
            <w:tcW w:w="1472" w:type="dxa"/>
            <w:vAlign w:val="center"/>
          </w:tcPr>
          <w:p w14:paraId="63D3B9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firstLine="0"/>
              <w:jc w:val="center"/>
              <w:rPr>
                <w:rFonts w:hint="default" w:ascii="Times New Roman" w:hAnsi="Times New Roman" w:cs="Times New Roman" w:eastAsiaTheme="majorEastAsia"/>
                <w:bCs/>
                <w:color w:val="auto"/>
                <w:sz w:val="21"/>
                <w:szCs w:val="21"/>
                <w:lang w:val="en-US" w:eastAsia="zh-CN"/>
              </w:rPr>
            </w:pPr>
            <w:r>
              <w:rPr>
                <w:rFonts w:hint="default" w:ascii="Times New Roman" w:hAnsi="Times New Roman" w:cs="Times New Roman" w:eastAsiaTheme="majorEastAsia"/>
                <w:bCs/>
                <w:color w:val="auto"/>
                <w:sz w:val="21"/>
                <w:szCs w:val="21"/>
                <w:lang w:val="en-US" w:eastAsia="zh-CN"/>
              </w:rPr>
              <w:t>自费</w:t>
            </w:r>
          </w:p>
        </w:tc>
      </w:tr>
    </w:tbl>
    <w:p w14:paraId="27B850F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eastAsiaTheme="majorEastAsia"/>
          <w:b w:val="0"/>
          <w:bCs/>
          <w:color w:val="auto"/>
          <w:kern w:val="2"/>
          <w:sz w:val="21"/>
          <w:szCs w:val="21"/>
          <w:lang w:val="en-US" w:eastAsia="zh-CN" w:bidi="ar-SA"/>
        </w:rPr>
      </w:pPr>
      <w:bookmarkStart w:id="13" w:name="_Toc23976"/>
    </w:p>
    <w:p w14:paraId="2151C91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SimHei" w:cs="Times New Roman"/>
          <w:b w:val="0"/>
          <w:bCs/>
          <w:color w:val="auto"/>
          <w:kern w:val="2"/>
          <w:sz w:val="30"/>
          <w:szCs w:val="30"/>
          <w:lang w:val="en-US" w:eastAsia="zh-CN" w:bidi="ar-SA"/>
        </w:rPr>
      </w:pPr>
      <w:r>
        <w:rPr>
          <w:rFonts w:hint="default" w:ascii="Times New Roman" w:hAnsi="Times New Roman" w:eastAsia="SimHei" w:cs="Times New Roman"/>
          <w:b w:val="0"/>
          <w:bCs/>
          <w:color w:val="auto"/>
          <w:kern w:val="2"/>
          <w:sz w:val="30"/>
          <w:szCs w:val="30"/>
          <w:lang w:val="en-US" w:eastAsia="zh-CN" w:bidi="ar-SA"/>
        </w:rPr>
        <w:t>三、质量保障措施</w:t>
      </w:r>
      <w:bookmarkEnd w:id="13"/>
    </w:p>
    <w:p w14:paraId="79AA565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4" w:name="_Toc21579"/>
      <w:r>
        <w:rPr>
          <w:rFonts w:hint="default" w:ascii="Times New Roman" w:hAnsi="Times New Roman" w:eastAsia="SimHei" w:cs="Times New Roman"/>
          <w:b w:val="0"/>
          <w:bCs w:val="0"/>
          <w:i w:val="0"/>
          <w:iCs w:val="0"/>
          <w:color w:val="auto"/>
          <w:kern w:val="2"/>
          <w:sz w:val="28"/>
          <w:szCs w:val="28"/>
          <w:lang w:val="en-US" w:eastAsia="zh-CN" w:bidi="ar-SA"/>
        </w:rPr>
        <w:t>（一）导师指导</w:t>
      </w:r>
      <w:bookmarkEnd w:id="14"/>
    </w:p>
    <w:p w14:paraId="26400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严格按照中南林业科技大学研究生指导教师管理办法，进行导师遴选、培训和考核。要求导师从制定详细的培养方案，到研究选题、开题报告、中期检查，再到论文送审、论文答辩等各个环节，均要做到规范化与科学化。所有导师均能认真执行硕士研究生指导制度。本学位点导师均能履行职责，考核均合格。</w:t>
      </w:r>
    </w:p>
    <w:p w14:paraId="5021A74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5" w:name="_Toc3707"/>
      <w:r>
        <w:rPr>
          <w:rFonts w:hint="default" w:ascii="Times New Roman" w:hAnsi="Times New Roman" w:eastAsia="SimHei" w:cs="Times New Roman"/>
          <w:b w:val="0"/>
          <w:bCs w:val="0"/>
          <w:i w:val="0"/>
          <w:iCs w:val="0"/>
          <w:color w:val="auto"/>
          <w:kern w:val="2"/>
          <w:sz w:val="28"/>
          <w:szCs w:val="28"/>
          <w:lang w:val="en-US" w:eastAsia="zh-CN" w:bidi="ar-SA"/>
        </w:rPr>
        <w:t>（二）学风建设</w:t>
      </w:r>
      <w:bookmarkEnd w:id="15"/>
    </w:p>
    <w:p w14:paraId="697DDE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定期开展科学道德和学术规范教育，要求全体导师和学生恪守学术道德规范，严格遵守学术研究和学术活动的基本规范，认真执行学术刊物引文规范，严禁弄虚作假。对于学术不端行为采取零容忍的态度，防范机制与处罚制度健全。研究生的学位论文在进行送审前均进行了相似性检测。本学位点研究生能够严格恪守学术道德规范，学风建设制度健全，学术风气浓厚。</w:t>
      </w:r>
    </w:p>
    <w:p w14:paraId="49AD10D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6" w:name="_Toc8011"/>
      <w:r>
        <w:rPr>
          <w:rFonts w:hint="default" w:ascii="Times New Roman" w:hAnsi="Times New Roman" w:eastAsia="SimHei" w:cs="Times New Roman"/>
          <w:b w:val="0"/>
          <w:bCs w:val="0"/>
          <w:i w:val="0"/>
          <w:iCs w:val="0"/>
          <w:color w:val="auto"/>
          <w:kern w:val="2"/>
          <w:sz w:val="28"/>
          <w:szCs w:val="28"/>
          <w:lang w:val="en-US" w:eastAsia="zh-CN" w:bidi="ar-SA"/>
        </w:rPr>
        <w:t>（三）教学科研支撑</w:t>
      </w:r>
      <w:bookmarkEnd w:id="16"/>
    </w:p>
    <w:p w14:paraId="1A85B6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教学方面，设有研究生教学专用多媒体教室3间。科研方面，学校图书馆和学院图书资料室满足研究生培养文献资源的必要条件。校内建设有模拟法庭，校外建设有多个实习基地。以上教学、科研资源条件有力地支撑和保证了研究生学习、科研和学术交流活动。</w:t>
      </w:r>
    </w:p>
    <w:p w14:paraId="654BFAF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7" w:name="_Toc8620"/>
      <w:r>
        <w:rPr>
          <w:rFonts w:hint="default" w:ascii="Times New Roman" w:hAnsi="Times New Roman" w:eastAsia="SimHei" w:cs="Times New Roman"/>
          <w:b w:val="0"/>
          <w:bCs w:val="0"/>
          <w:i w:val="0"/>
          <w:iCs w:val="0"/>
          <w:color w:val="auto"/>
          <w:kern w:val="2"/>
          <w:sz w:val="28"/>
          <w:szCs w:val="28"/>
          <w:lang w:val="en-US" w:eastAsia="zh-CN" w:bidi="ar-SA"/>
        </w:rPr>
        <w:t>（四）奖助体系</w:t>
      </w:r>
      <w:bookmarkEnd w:id="17"/>
    </w:p>
    <w:p w14:paraId="2DA03B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本学位点研究生奖助体系健全，奖助水准高，覆盖面超过</w:t>
      </w:r>
      <w:r>
        <w:rPr>
          <w:rFonts w:hint="eastAsia" w:ascii="Times New Roman" w:hAnsi="Times New Roman" w:cs="Times New Roman" w:eastAsiaTheme="majorEastAsia"/>
          <w:i w:val="0"/>
          <w:iCs w:val="0"/>
          <w:color w:val="auto"/>
          <w:kern w:val="2"/>
          <w:sz w:val="24"/>
          <w:szCs w:val="24"/>
          <w:lang w:val="en-US" w:eastAsia="zh-CN" w:bidi="ar-SA"/>
        </w:rPr>
        <w:t>8</w:t>
      </w:r>
      <w:r>
        <w:rPr>
          <w:rFonts w:hint="eastAsia" w:asciiTheme="majorEastAsia" w:hAnsiTheme="majorEastAsia" w:eastAsiaTheme="majorEastAsia" w:cstheme="majorEastAsia"/>
          <w:i w:val="0"/>
          <w:iCs w:val="0"/>
          <w:color w:val="auto"/>
          <w:kern w:val="2"/>
          <w:sz w:val="24"/>
          <w:szCs w:val="24"/>
          <w:lang w:val="en-US" w:eastAsia="zh-CN" w:bidi="ar-SA"/>
        </w:rPr>
        <w:t>0%。学校制定了全面的研究生奖助体系，设有研究生学业奖学金，奖学金覆盖率为</w:t>
      </w:r>
      <w:r>
        <w:rPr>
          <w:rFonts w:hint="eastAsia" w:ascii="Times New Roman" w:hAnsi="Times New Roman" w:cs="Times New Roman" w:eastAsiaTheme="majorEastAsia"/>
          <w:i w:val="0"/>
          <w:iCs w:val="0"/>
          <w:color w:val="auto"/>
          <w:kern w:val="2"/>
          <w:sz w:val="24"/>
          <w:szCs w:val="24"/>
          <w:lang w:val="en-US" w:eastAsia="zh-CN" w:bidi="ar-SA"/>
        </w:rPr>
        <w:t>85</w:t>
      </w:r>
      <w:r>
        <w:rPr>
          <w:rFonts w:hint="eastAsia" w:asciiTheme="majorEastAsia" w:hAnsiTheme="majorEastAsia" w:eastAsiaTheme="majorEastAsia" w:cstheme="majorEastAsia"/>
          <w:i w:val="0"/>
          <w:iCs w:val="0"/>
          <w:color w:val="auto"/>
          <w:kern w:val="2"/>
          <w:sz w:val="24"/>
          <w:szCs w:val="24"/>
          <w:lang w:val="en-US" w:eastAsia="zh-CN" w:bidi="ar-SA"/>
        </w:rPr>
        <w:t>%；研究生助学金，覆盖率</w:t>
      </w:r>
      <w:r>
        <w:rPr>
          <w:rFonts w:hint="default" w:ascii="Times New Roman" w:hAnsi="Times New Roman" w:cs="Times New Roman" w:eastAsiaTheme="majorEastAsia"/>
          <w:i w:val="0"/>
          <w:iCs w:val="0"/>
          <w:color w:val="auto"/>
          <w:kern w:val="2"/>
          <w:sz w:val="24"/>
          <w:szCs w:val="24"/>
          <w:lang w:val="en-US" w:eastAsia="zh-CN" w:bidi="ar-SA"/>
        </w:rPr>
        <w:t>100</w:t>
      </w:r>
      <w:r>
        <w:rPr>
          <w:rFonts w:hint="eastAsia" w:asciiTheme="majorEastAsia" w:hAnsiTheme="majorEastAsia" w:eastAsiaTheme="majorEastAsia" w:cstheme="majorEastAsia"/>
          <w:i w:val="0"/>
          <w:iCs w:val="0"/>
          <w:color w:val="auto"/>
          <w:kern w:val="2"/>
          <w:sz w:val="24"/>
          <w:szCs w:val="24"/>
          <w:lang w:val="en-US" w:eastAsia="zh-CN" w:bidi="ar-SA"/>
        </w:rPr>
        <w:t>%；研究生国家奖学金，覆盖率为</w:t>
      </w:r>
      <w:r>
        <w:rPr>
          <w:rFonts w:hint="eastAsia" w:ascii="Times New Roman" w:hAnsi="Times New Roman" w:cs="Times New Roman" w:eastAsiaTheme="majorEastAsia"/>
          <w:i w:val="0"/>
          <w:iCs w:val="0"/>
          <w:color w:val="auto"/>
          <w:kern w:val="2"/>
          <w:sz w:val="24"/>
          <w:szCs w:val="24"/>
          <w:lang w:val="en-US" w:eastAsia="zh-CN" w:bidi="ar-SA"/>
        </w:rPr>
        <w:t>10</w:t>
      </w:r>
      <w:r>
        <w:rPr>
          <w:rFonts w:hint="eastAsia" w:asciiTheme="majorEastAsia" w:hAnsiTheme="majorEastAsia" w:eastAsiaTheme="majorEastAsia" w:cstheme="majorEastAsia"/>
          <w:i w:val="0"/>
          <w:iCs w:val="0"/>
          <w:color w:val="auto"/>
          <w:kern w:val="2"/>
          <w:sz w:val="24"/>
          <w:szCs w:val="24"/>
          <w:lang w:val="en-US" w:eastAsia="zh-CN" w:bidi="ar-SA"/>
        </w:rPr>
        <w:t>%。此外，导师每年给每位研究生均提供不少于</w:t>
      </w:r>
      <w:r>
        <w:rPr>
          <w:rFonts w:hint="default" w:ascii="Times New Roman" w:hAnsi="Times New Roman" w:cs="Times New Roman" w:eastAsiaTheme="majorEastAsia"/>
          <w:i w:val="0"/>
          <w:iCs w:val="0"/>
          <w:color w:val="auto"/>
          <w:kern w:val="2"/>
          <w:sz w:val="24"/>
          <w:szCs w:val="24"/>
          <w:lang w:val="en-US" w:eastAsia="zh-CN" w:bidi="ar-SA"/>
        </w:rPr>
        <w:t>1000</w:t>
      </w:r>
      <w:r>
        <w:rPr>
          <w:rFonts w:hint="eastAsia" w:asciiTheme="majorEastAsia" w:hAnsiTheme="majorEastAsia" w:eastAsiaTheme="majorEastAsia" w:cstheme="majorEastAsia"/>
          <w:i w:val="0"/>
          <w:iCs w:val="0"/>
          <w:color w:val="auto"/>
          <w:kern w:val="2"/>
          <w:sz w:val="24"/>
          <w:szCs w:val="24"/>
          <w:lang w:val="en-US" w:eastAsia="zh-CN" w:bidi="ar-SA"/>
        </w:rPr>
        <w:t>元的助研津贴；学院设立两个助管岗位，每生每年有</w:t>
      </w:r>
      <w:r>
        <w:rPr>
          <w:rFonts w:hint="eastAsia" w:ascii="Times New Roman" w:hAnsi="Times New Roman" w:cs="Times New Roman" w:eastAsiaTheme="majorEastAsia"/>
          <w:i w:val="0"/>
          <w:iCs w:val="0"/>
          <w:color w:val="auto"/>
          <w:kern w:val="2"/>
          <w:sz w:val="24"/>
          <w:szCs w:val="24"/>
          <w:lang w:val="en-US" w:eastAsia="zh-CN" w:bidi="ar-SA"/>
        </w:rPr>
        <w:t>6000</w:t>
      </w:r>
      <w:r>
        <w:rPr>
          <w:rFonts w:hint="eastAsia" w:asciiTheme="majorEastAsia" w:hAnsiTheme="majorEastAsia" w:eastAsiaTheme="majorEastAsia" w:cstheme="majorEastAsia"/>
          <w:i w:val="0"/>
          <w:iCs w:val="0"/>
          <w:color w:val="auto"/>
          <w:kern w:val="2"/>
          <w:sz w:val="24"/>
          <w:szCs w:val="24"/>
          <w:lang w:val="en-US" w:eastAsia="zh-CN" w:bidi="ar-SA"/>
        </w:rPr>
        <w:t>元的助管津贴。</w:t>
      </w:r>
    </w:p>
    <w:p w14:paraId="210942D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8" w:name="_Toc25419"/>
      <w:r>
        <w:rPr>
          <w:rFonts w:hint="default" w:ascii="Times New Roman" w:hAnsi="Times New Roman" w:eastAsia="SimHei" w:cs="Times New Roman"/>
          <w:b w:val="0"/>
          <w:bCs w:val="0"/>
          <w:i w:val="0"/>
          <w:iCs w:val="0"/>
          <w:color w:val="auto"/>
          <w:kern w:val="2"/>
          <w:sz w:val="28"/>
          <w:szCs w:val="28"/>
          <w:lang w:val="en-US" w:eastAsia="zh-CN" w:bidi="ar-SA"/>
        </w:rPr>
        <w:t>（五）权益保障</w:t>
      </w:r>
      <w:bookmarkEnd w:id="18"/>
    </w:p>
    <w:p w14:paraId="226EDC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在研究生培养过程中，主要通过电话、电子邮件、QQ群、微信、调查问卷等形式，及时收集学生对培养工作的意见。同时，适时召开学生座谈会，听取学生对教师授课情况和教学管理的意见。研究生对培养工作总体满意度≥</w:t>
      </w:r>
      <w:r>
        <w:rPr>
          <w:rFonts w:hint="default" w:ascii="Times New Roman" w:hAnsi="Times New Roman" w:cs="Times New Roman" w:eastAsiaTheme="majorEastAsia"/>
          <w:i w:val="0"/>
          <w:iCs w:val="0"/>
          <w:color w:val="auto"/>
          <w:kern w:val="2"/>
          <w:sz w:val="24"/>
          <w:szCs w:val="24"/>
          <w:lang w:val="en-US" w:eastAsia="zh-CN" w:bidi="ar-SA"/>
        </w:rPr>
        <w:t>95</w:t>
      </w:r>
      <w:r>
        <w:rPr>
          <w:rFonts w:hint="default" w:ascii="Times New Roman" w:hAnsi="Times New Roman" w:eastAsia="SimSun" w:cs="Times New Roman"/>
          <w:i w:val="0"/>
          <w:iCs w:val="0"/>
          <w:color w:val="auto"/>
          <w:kern w:val="2"/>
          <w:sz w:val="24"/>
          <w:szCs w:val="24"/>
          <w:lang w:val="en-US" w:eastAsia="zh-CN" w:bidi="ar-SA"/>
        </w:rPr>
        <w:t>%。</w:t>
      </w:r>
    </w:p>
    <w:p w14:paraId="14EFCC4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19" w:name="_Toc20125"/>
      <w:r>
        <w:rPr>
          <w:rFonts w:hint="default" w:ascii="Times New Roman" w:hAnsi="Times New Roman" w:eastAsia="SimHei" w:cs="Times New Roman"/>
          <w:b w:val="0"/>
          <w:bCs w:val="0"/>
          <w:i w:val="0"/>
          <w:iCs w:val="0"/>
          <w:color w:val="auto"/>
          <w:kern w:val="2"/>
          <w:sz w:val="28"/>
          <w:szCs w:val="28"/>
          <w:lang w:val="en-US" w:eastAsia="zh-CN" w:bidi="ar-SA"/>
        </w:rPr>
        <w:t>（六）经费保障</w:t>
      </w:r>
      <w:bookmarkEnd w:id="19"/>
    </w:p>
    <w:p w14:paraId="0039B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本学位点建设经费保障有力。其经费来源为法学学科建设经费、研究生培养管理经费和导师的相关纵横向课题经费的投入。经费主要用于专业调研、购买图书资料、短期培训与进修、参加学术会议、课程建设、发表论文等，经费到账及时，且足额到位。经费使用采取项目负责人审批制度，专款专用，经费管理与保障制度健全。</w:t>
      </w:r>
    </w:p>
    <w:p w14:paraId="5EE71A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0" w:name="_Toc7367"/>
      <w:r>
        <w:rPr>
          <w:rFonts w:hint="default" w:ascii="Times New Roman" w:hAnsi="Times New Roman" w:eastAsia="SimHei" w:cs="Times New Roman"/>
          <w:b w:val="0"/>
          <w:bCs w:val="0"/>
          <w:i w:val="0"/>
          <w:iCs w:val="0"/>
          <w:color w:val="auto"/>
          <w:kern w:val="2"/>
          <w:sz w:val="28"/>
          <w:szCs w:val="28"/>
          <w:lang w:val="en-US" w:eastAsia="zh-CN" w:bidi="ar-SA"/>
        </w:rPr>
        <w:t>（七）教学档案</w:t>
      </w:r>
      <w:bookmarkEnd w:id="20"/>
    </w:p>
    <w:p w14:paraId="5493D0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r>
        <w:rPr>
          <w:rFonts w:hint="default" w:ascii="Times New Roman" w:hAnsi="Times New Roman" w:eastAsia="SimSun" w:cs="Times New Roman"/>
          <w:i w:val="0"/>
          <w:iCs w:val="0"/>
          <w:color w:val="auto"/>
          <w:kern w:val="2"/>
          <w:sz w:val="24"/>
          <w:szCs w:val="24"/>
          <w:lang w:val="en-US" w:eastAsia="zh-CN" w:bidi="ar-SA"/>
        </w:rPr>
        <w:t>教学档案完整、真实，教学文件齐全。教学档案设有专人保管，固定存放于档案室保管。</w:t>
      </w:r>
    </w:p>
    <w:p w14:paraId="559514F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SimHei" w:cs="Times New Roman"/>
          <w:b w:val="0"/>
          <w:bCs/>
          <w:color w:val="auto"/>
          <w:kern w:val="2"/>
          <w:sz w:val="30"/>
          <w:szCs w:val="30"/>
          <w:lang w:val="en-US" w:eastAsia="zh-CN" w:bidi="ar-SA"/>
        </w:rPr>
      </w:pPr>
      <w:bookmarkStart w:id="21" w:name="_Toc24541"/>
      <w:r>
        <w:rPr>
          <w:rFonts w:hint="default" w:ascii="Times New Roman" w:hAnsi="Times New Roman" w:eastAsia="SimHei" w:cs="Times New Roman"/>
          <w:b w:val="0"/>
          <w:bCs/>
          <w:color w:val="auto"/>
          <w:kern w:val="2"/>
          <w:sz w:val="30"/>
          <w:szCs w:val="30"/>
          <w:lang w:val="en-US" w:eastAsia="zh-CN" w:bidi="ar-SA"/>
        </w:rPr>
        <w:t>四、存在问题及下一步建设思路</w:t>
      </w:r>
      <w:bookmarkEnd w:id="21"/>
    </w:p>
    <w:p w14:paraId="45CA02D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Sun" w:cs="Times New Roman"/>
          <w:i w:val="0"/>
          <w:iCs w:val="0"/>
          <w:color w:val="auto"/>
          <w:kern w:val="2"/>
          <w:sz w:val="24"/>
          <w:szCs w:val="24"/>
          <w:lang w:val="en-US" w:eastAsia="zh-CN" w:bidi="ar-SA"/>
        </w:rPr>
      </w:pPr>
      <w:bookmarkStart w:id="22" w:name="_Toc13327"/>
      <w:r>
        <w:rPr>
          <w:rFonts w:hint="default" w:ascii="Times New Roman" w:hAnsi="Times New Roman" w:eastAsia="SimHei" w:cs="Times New Roman"/>
          <w:b w:val="0"/>
          <w:bCs w:val="0"/>
          <w:i w:val="0"/>
          <w:iCs w:val="0"/>
          <w:color w:val="auto"/>
          <w:kern w:val="2"/>
          <w:sz w:val="28"/>
          <w:szCs w:val="28"/>
          <w:lang w:val="en-US" w:eastAsia="zh-CN" w:bidi="ar-SA"/>
        </w:rPr>
        <w:t>（一）存在的问题</w:t>
      </w:r>
      <w:bookmarkEnd w:id="22"/>
    </w:p>
    <w:p w14:paraId="4F6709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1.人才梯队不够完善，40岁以下，尤其是35岁以下教师队伍出现断层现象。</w:t>
      </w:r>
    </w:p>
    <w:p w14:paraId="77236B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2.目前仅仅成功入围省法学一流专业建设名单，国家一流专业、一流学科还有待培育提升。</w:t>
      </w:r>
    </w:p>
    <w:p w14:paraId="608A1C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3.研究生教学、科研与实践平台建设有待进一步加强。</w:t>
      </w:r>
    </w:p>
    <w:p w14:paraId="0F2E1E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4.研究生线上课程建设、教改项目和科研工作还有薄弱之处。</w:t>
      </w:r>
    </w:p>
    <w:p w14:paraId="6AEBA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5.国际化合作交流空间范围有限，目前国际化合作交流无论人数和规模都很小。</w:t>
      </w:r>
    </w:p>
    <w:p w14:paraId="7970FBD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SimHei" w:cs="Times New Roman"/>
          <w:b w:val="0"/>
          <w:bCs w:val="0"/>
          <w:i w:val="0"/>
          <w:iCs w:val="0"/>
          <w:color w:val="auto"/>
          <w:kern w:val="2"/>
          <w:sz w:val="28"/>
          <w:szCs w:val="28"/>
          <w:lang w:val="en-US" w:eastAsia="zh-CN" w:bidi="ar-SA"/>
        </w:rPr>
      </w:pPr>
      <w:bookmarkStart w:id="23" w:name="_Toc11403"/>
      <w:r>
        <w:rPr>
          <w:rFonts w:hint="default" w:ascii="Times New Roman" w:hAnsi="Times New Roman" w:eastAsia="SimHei" w:cs="Times New Roman"/>
          <w:b w:val="0"/>
          <w:bCs w:val="0"/>
          <w:i w:val="0"/>
          <w:iCs w:val="0"/>
          <w:color w:val="auto"/>
          <w:kern w:val="2"/>
          <w:sz w:val="28"/>
          <w:szCs w:val="28"/>
          <w:lang w:val="en-US" w:eastAsia="zh-CN" w:bidi="ar-SA"/>
        </w:rPr>
        <w:t>（二）下一步建设思路</w:t>
      </w:r>
      <w:bookmarkEnd w:id="23"/>
    </w:p>
    <w:p w14:paraId="56CBE4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1.总体目标</w:t>
      </w:r>
    </w:p>
    <w:p w14:paraId="5F30FB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本学科保持现有的5个学科方向稳定发展，继续凝练“生态”特色，提升学科整体实力，力争学科水平在2022年达到省内先进水平，进入省内一流学科。</w:t>
      </w:r>
    </w:p>
    <w:p w14:paraId="252F98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 xml:space="preserve">2.具体目标 </w:t>
      </w:r>
    </w:p>
    <w:p w14:paraId="43DDFB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学科方向：进一步凝炼学科研究方向，不断拓宽研究领域。在现有5个学科方向的基础上，重点建设环境与资源保护法学、刑法学、宪法学与行政法学方向，其中特色方向为环境与资源保护法学。</w:t>
      </w:r>
    </w:p>
    <w:p w14:paraId="35DC73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队伍建设：完善师资队伍建设，充分增强科研实力。本学位点将进一步完善本学位点师资队伍建设，持续增强学科发展实力。在引进人才时，要更加注重人才的科研能力与水平，强调学术成果质量，同时兼顾学历、学缘、年龄、职称结构。在2022年引进35岁以下青年博士或者40岁以下博士、副教授1-2人，培养学科骨干1-2人。</w:t>
      </w:r>
    </w:p>
    <w:p w14:paraId="1998AD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i w:val="0"/>
          <w:iCs w:val="0"/>
          <w:color w:val="auto"/>
          <w:kern w:val="2"/>
          <w:sz w:val="24"/>
          <w:szCs w:val="24"/>
          <w:lang w:val="en-US" w:eastAsia="zh-CN" w:bidi="ar-SA"/>
        </w:rPr>
      </w:pPr>
      <w:r>
        <w:rPr>
          <w:rFonts w:hint="eastAsia" w:asciiTheme="majorEastAsia" w:hAnsiTheme="majorEastAsia" w:eastAsiaTheme="majorEastAsia" w:cstheme="majorEastAsia"/>
          <w:i w:val="0"/>
          <w:iCs w:val="0"/>
          <w:color w:val="auto"/>
          <w:kern w:val="2"/>
          <w:sz w:val="24"/>
          <w:szCs w:val="24"/>
          <w:lang w:val="en-US" w:eastAsia="zh-CN" w:bidi="ar-SA"/>
        </w:rPr>
        <w:t>平台建设：加强科研平台建设，持续提高科研水平。建设省部级教学科研平台1个。</w:t>
      </w:r>
    </w:p>
    <w:p w14:paraId="00AD4A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i w:val="0"/>
          <w:iCs w:val="0"/>
          <w:color w:val="auto"/>
          <w:kern w:val="2"/>
          <w:sz w:val="24"/>
          <w:szCs w:val="24"/>
          <w:lang w:val="en-US" w:eastAsia="zh-CN" w:bidi="ar-SA"/>
        </w:rPr>
        <w:t>人才培养：完善研究生培养平台建设，创新人才培养模式。积极申报研究生培养创新基地，探索与国内外知名大学、一流学科、司法机关建立稳定、长效的联合培养机制，创建研究生国际化培养模式，着力提升研究生的国际视野、科研水平、知识融合与创新能力，为社会培养一批知识结构全面、创新能力突出的复合型人才。积极鼓励骨干教师、研究生参加国内外学术会议。积极鼓励研究生在省级综合性学报或法学专业期刊上发表学术论文，争取获省优秀硕士论文，获国家或省部级学科竞赛奖。</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楷体_GB2312">
    <w:altName w:val="KaiTi"/>
    <w:panose1 w:val="02010609030101010101"/>
    <w:charset w:val="86"/>
    <w:family w:val="modern"/>
    <w:pitch w:val="default"/>
    <w:sig w:usb0="00000000" w:usb1="00000000" w:usb2="00000000" w:usb3="00000000" w:csb0="00040000" w:csb1="00000000"/>
  </w:font>
  <w:font w:name="KaiTi">
    <w:panose1 w:val="02010609060101010101"/>
    <w:charset w:val="86"/>
    <w:family w:val="auto"/>
    <w:pitch w:val="default"/>
    <w:sig w:usb0="800002BF" w:usb1="38CF7CFA" w:usb2="00000016" w:usb3="00000000" w:csb0="00040001" w:csb1="00000000"/>
  </w:font>
  <w:font w:name="方正小标宋简体">
    <w:altName w:val="FZShuTi"/>
    <w:panose1 w:val="03000509000000000000"/>
    <w:charset w:val="86"/>
    <w:family w:val="auto"/>
    <w:pitch w:val="default"/>
    <w:sig w:usb0="00000000" w:usb1="00000000" w:usb2="00000000" w:usb3="00000000" w:csb0="00040000" w:csb1="00000000"/>
  </w:font>
  <w:font w:name="FZShuTi">
    <w:panose1 w:val="02010601030101010101"/>
    <w:charset w:val="86"/>
    <w:family w:val="auto"/>
    <w:pitch w:val="default"/>
    <w:sig w:usb0="00000003" w:usb1="080E0000" w:usb2="00000000" w:usb3="00000000" w:csb0="00040000" w:csb1="00000000"/>
  </w:font>
  <w:font w:name="STFangsong">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5FA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0972E">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7B0972E">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8D00">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E8CBD">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6F7E8CBD">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E97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081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808100">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FBEC7B">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DFBEC7B">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4990"/>
    <w:rsid w:val="078C79F4"/>
    <w:rsid w:val="1D846C85"/>
    <w:rsid w:val="351153E0"/>
    <w:rsid w:val="36E77377"/>
    <w:rsid w:val="40761F45"/>
    <w:rsid w:val="41F269E8"/>
    <w:rsid w:val="45737DA4"/>
    <w:rsid w:val="58490869"/>
    <w:rsid w:val="68BB1E56"/>
    <w:rsid w:val="6EA303C9"/>
    <w:rsid w:val="767A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toc 1"/>
    <w:basedOn w:val="1"/>
    <w:next w:val="1"/>
    <w:qFormat/>
    <w:uiPriority w:val="0"/>
  </w:style>
  <w:style w:type="paragraph" w:styleId="4">
    <w:name w:val="toc 2"/>
    <w:basedOn w:val="1"/>
    <w:next w:val="1"/>
    <w:qFormat/>
    <w:uiPriority w:val="0"/>
    <w:pPr>
      <w:ind w:left="420" w:leftChars="200"/>
    </w:p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6725</Words>
  <Characters>7233</Characters>
  <Lines>0</Lines>
  <Paragraphs>0</Paragraphs>
  <TotalTime>1</TotalTime>
  <ScaleCrop>false</ScaleCrop>
  <LinksUpToDate>false</LinksUpToDate>
  <CharactersWithSpaces>7290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2025-03-30T01:27:00Z</dcterms:created>
  <dc:creator>MI</dc:creator>
  <cp:lastModifiedBy>Neil</cp:lastModifiedBy>
  <dcterms:modified xsi:type="dcterms:W3CDTF">2025-03-31T07:53:27Z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eyJoZGlkIjoiNDY1OGE1ODhlY2I5MDFmZjY3ZmRkNzdjYWJiZjk5M2IiLCJ1c2VySWQiOiIxMDA1MzcxMDc4In0=</vt:lpwstr>
  </property>
  <property fmtid="{D5CDD505-2E9C-101B-9397-08002B2CF9AE}" pid="4" name="ICV">
    <vt:lpwstr>C3EB261C6C7244729B3D3D432C791972_12</vt:lpwstr>
  </property>
</Properties>
</file>